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5BE376" w14:textId="02F23850" w:rsidR="00F86F80" w:rsidRDefault="00A9567C" w:rsidP="00A9567C">
      <w:pPr>
        <w:pStyle w:val="Title"/>
        <w:rPr>
          <w:lang w:val="vi-VN"/>
        </w:rPr>
      </w:pPr>
      <w:r>
        <w:rPr>
          <w:lang w:val="vi-VN"/>
        </w:rPr>
        <w:t xml:space="preserve">[MoneF Opinion] </w:t>
      </w:r>
      <w:proofErr w:type="spellStart"/>
      <w:r w:rsidR="00F86F80" w:rsidRPr="00F86F80">
        <w:t>Ngành</w:t>
      </w:r>
      <w:proofErr w:type="spellEnd"/>
      <w:r w:rsidR="00F86F80" w:rsidRPr="00F86F80">
        <w:rPr>
          <w:lang w:val="vi-VN"/>
        </w:rPr>
        <w:t xml:space="preserve"> Bao bì giấy: Đối mặt với nguy cơ thiếu hụt nguồn cung kéo dài</w:t>
      </w:r>
    </w:p>
    <w:p w14:paraId="4039EE99" w14:textId="77777777" w:rsidR="00A9567C" w:rsidRPr="00F86F80" w:rsidRDefault="00A9567C" w:rsidP="000011DC">
      <w:pPr>
        <w:jc w:val="both"/>
        <w:rPr>
          <w:rFonts w:ascii="Arial" w:hAnsi="Arial" w:cs="Arial"/>
          <w:b/>
          <w:bCs/>
          <w:sz w:val="28"/>
          <w:szCs w:val="28"/>
          <w:lang w:val="vi-VN"/>
        </w:rPr>
      </w:pPr>
    </w:p>
    <w:p w14:paraId="4F743AB7" w14:textId="71D29344" w:rsidR="00531AEE" w:rsidRPr="00A9567C" w:rsidRDefault="00531AEE" w:rsidP="000011DC">
      <w:pPr>
        <w:jc w:val="both"/>
        <w:rPr>
          <w:rFonts w:ascii="Arial" w:hAnsi="Arial" w:cs="Arial"/>
          <w:i/>
          <w:lang w:val="vi-VN"/>
        </w:rPr>
      </w:pPr>
      <w:r w:rsidRPr="00A9567C">
        <w:rPr>
          <w:rFonts w:ascii="Arial" w:hAnsi="Arial" w:cs="Arial"/>
          <w:i/>
          <w:lang w:val="vi-VN"/>
        </w:rPr>
        <w:t>Thị trường bao bì giấy Việt Nam đang bước vào giai đoạn mất cân đối cung – cầu rõ rệt. Trong bối cảnh các quy định môi trường ngày càng được siết chặt khiến nhiều cơ sở sản xuất phải thu hẹp hoặc dừng hoạt động, nguồn cung giấy bao bì được dự báo tiếp tục thiếu hụt trong những năm tới, qua đó duy trì mặt bằng giá bán ở mức cao.</w:t>
      </w:r>
    </w:p>
    <w:p w14:paraId="0C287AC7" w14:textId="07FAE7E2" w:rsidR="00A9567C" w:rsidRDefault="00A9567C" w:rsidP="000011DC">
      <w:pPr>
        <w:jc w:val="both"/>
        <w:rPr>
          <w:rFonts w:ascii="Arial" w:hAnsi="Arial" w:cs="Arial"/>
          <w:lang w:val="vi-VN"/>
        </w:rPr>
      </w:pPr>
    </w:p>
    <w:p w14:paraId="3F9E766F" w14:textId="77777777" w:rsidR="00A9567C" w:rsidRPr="00531AEE" w:rsidRDefault="00A9567C" w:rsidP="000011DC">
      <w:pPr>
        <w:jc w:val="both"/>
        <w:rPr>
          <w:rFonts w:ascii="Arial" w:hAnsi="Arial" w:cs="Arial"/>
          <w:lang w:val="vi-VN"/>
        </w:rPr>
      </w:pPr>
    </w:p>
    <w:p w14:paraId="2BD51BDE" w14:textId="36688BC5" w:rsidR="00531AEE" w:rsidRDefault="00531AEE" w:rsidP="000011DC">
      <w:pPr>
        <w:jc w:val="both"/>
        <w:rPr>
          <w:rFonts w:ascii="Arial" w:hAnsi="Arial" w:cs="Arial"/>
          <w:lang w:val="vi-VN"/>
        </w:rPr>
      </w:pPr>
      <w:r w:rsidRPr="00531AEE">
        <w:rPr>
          <w:rFonts w:ascii="Arial" w:hAnsi="Arial" w:cs="Arial"/>
          <w:lang w:val="vi-VN"/>
        </w:rPr>
        <w:t>Theo thống kê của Hiệp hội Giấy và Bột giấy Việt Nam (VPPA), trong 7 tháng đầu năm 2026, năng lực sản xuất giấy bao bì trong nước giảm 8% so với cùng kỳ, từ 3,96 triệu tấn xuống còn 3,63 triệu tấn. Ngược lại, nhu cầu tiêu thụ tiếp tục tăng 7%, từ 3,96 triệu tấn lên 4,23 triệu tấn. Sự chênh lệch giữa sản xuất và tiêu dùng ngày càng lớn đang tạo áp lực thiếu hụt nguồn cung trên thị trường nội địa.</w:t>
      </w:r>
    </w:p>
    <w:p w14:paraId="63C6C5FA" w14:textId="77777777" w:rsidR="00A9567C" w:rsidRDefault="00A9567C" w:rsidP="000011DC">
      <w:pPr>
        <w:jc w:val="both"/>
        <w:rPr>
          <w:rFonts w:ascii="Arial" w:hAnsi="Arial" w:cs="Arial"/>
          <w:lang w:val="vi-VN"/>
        </w:rPr>
      </w:pPr>
    </w:p>
    <w:p w14:paraId="09191C2D" w14:textId="77777777" w:rsidR="00A9567C" w:rsidRDefault="00531AEE" w:rsidP="000011DC">
      <w:pPr>
        <w:jc w:val="both"/>
        <w:rPr>
          <w:rFonts w:ascii="Arial" w:hAnsi="Arial" w:cs="Arial"/>
          <w:lang w:val="vi-VN"/>
        </w:rPr>
      </w:pPr>
      <w:r w:rsidRPr="00531AEE">
        <w:rPr>
          <w:rFonts w:ascii="Arial" w:hAnsi="Arial" w:cs="Arial"/>
          <w:lang w:val="vi-VN"/>
        </w:rPr>
        <w:t>Riêng trong tháng 7/2026, tổng sản lượng giấy sản xuất đạt 693 nghìn tấn, tăng 1,9% so với tháng trước. Tuy nhiên, nhu cầu tiêu thụ tăng nhanh hơn, đạt 843 nghìn tấn, tăng 4,4% so với tháng trước. Trong đó, giấy bao bì tiếp tục là phân khúc tăng trưởng chủ đạo với sản lượng tiêu thụ đạt 681,5 nghìn tấn, tăng 6,1% so với tháng trước.</w:t>
      </w:r>
      <w:r>
        <w:rPr>
          <w:rFonts w:ascii="Arial" w:hAnsi="Arial" w:cs="Arial"/>
          <w:lang w:val="vi-VN"/>
        </w:rPr>
        <w:t xml:space="preserve"> </w:t>
      </w:r>
    </w:p>
    <w:p w14:paraId="6959774F" w14:textId="77777777" w:rsidR="00A9567C" w:rsidRDefault="00A9567C" w:rsidP="000011DC">
      <w:pPr>
        <w:jc w:val="both"/>
        <w:rPr>
          <w:rFonts w:ascii="Arial" w:hAnsi="Arial" w:cs="Arial"/>
          <w:lang w:val="vi-VN"/>
        </w:rPr>
      </w:pPr>
    </w:p>
    <w:p w14:paraId="783A51B7" w14:textId="235AB188" w:rsidR="00452234" w:rsidRDefault="00531AEE" w:rsidP="000011DC">
      <w:pPr>
        <w:jc w:val="both"/>
        <w:rPr>
          <w:rFonts w:ascii="Arial" w:hAnsi="Arial" w:cs="Arial"/>
          <w:lang w:val="vi-VN"/>
        </w:rPr>
      </w:pPr>
      <w:r w:rsidRPr="00531AEE">
        <w:rPr>
          <w:rFonts w:ascii="Arial" w:hAnsi="Arial" w:cs="Arial"/>
          <w:lang w:val="vi-VN"/>
        </w:rPr>
        <w:t>Ở chiều cung ứng, sản lượng sản xuất giấy bao bì chỉ tăng nhẹ 1,5%, trong khi xuất khẩu tăng mạnh 17,2%, đạt 85,3 nghìn tấn. Đồng thời, nhập khẩu giấy làm bao bì tăng 30,6%, đạt 190 nghìn tấn, cho thấy nhu cầu trong nước đang vượt quá khả năng đáp ứng của các nhà sản xuất nội địa.</w:t>
      </w:r>
    </w:p>
    <w:p w14:paraId="6FDAD59C" w14:textId="2E8E8E0D" w:rsidR="00F86F80" w:rsidRDefault="00562066" w:rsidP="000011DC">
      <w:pPr>
        <w:jc w:val="both"/>
        <w:rPr>
          <w:rFonts w:ascii="Arial" w:hAnsi="Arial" w:cs="Arial"/>
          <w:bCs/>
          <w:lang w:val="vi-VN"/>
        </w:rPr>
      </w:pPr>
      <w:r w:rsidRPr="00F86F80">
        <w:rPr>
          <w:rFonts w:ascii="Arial" w:hAnsi="Arial" w:cs="Arial"/>
          <w:lang w:val="vi-VN"/>
        </w:rPr>
        <w:br/>
      </w:r>
      <w:r w:rsidRPr="00452234">
        <w:rPr>
          <w:rFonts w:ascii="Arial" w:hAnsi="Arial" w:cs="Arial"/>
          <w:bCs/>
          <w:lang w:val="vi-VN"/>
        </w:rPr>
        <w:t>Nguồn cung bị thu hẹp sau làn sóng đóng cửa các cơ sở sản xuất tại Bắc Ninh bất chấp công suất mới bổ sung trong nửa cuối năm 2026</w:t>
      </w:r>
      <w:r w:rsidR="00A9567C">
        <w:rPr>
          <w:rFonts w:ascii="Arial" w:hAnsi="Arial" w:cs="Arial"/>
          <w:bCs/>
          <w:lang w:val="vi-VN"/>
        </w:rPr>
        <w:t>.</w:t>
      </w:r>
    </w:p>
    <w:p w14:paraId="2DEC4F02" w14:textId="77777777" w:rsidR="00A9567C" w:rsidRPr="00452234" w:rsidRDefault="00A9567C" w:rsidP="000011DC">
      <w:pPr>
        <w:jc w:val="both"/>
        <w:rPr>
          <w:rFonts w:ascii="Arial" w:hAnsi="Arial" w:cs="Arial"/>
          <w:lang w:val="vi-VN"/>
        </w:rPr>
      </w:pPr>
    </w:p>
    <w:p w14:paraId="7C59CE3E" w14:textId="5D9FC1BD" w:rsidR="00531AEE" w:rsidRDefault="00531AEE" w:rsidP="00531AEE">
      <w:pPr>
        <w:jc w:val="both"/>
        <w:rPr>
          <w:rFonts w:ascii="Arial" w:hAnsi="Arial" w:cs="Arial"/>
          <w:lang w:val="vi-VN"/>
        </w:rPr>
      </w:pPr>
      <w:r w:rsidRPr="00531AEE">
        <w:rPr>
          <w:rFonts w:ascii="Arial" w:hAnsi="Arial" w:cs="Arial"/>
          <w:lang w:val="vi-VN"/>
        </w:rPr>
        <w:t>Một trong những nguyên nhân quan trọng khiến nguồn cung giấy bao bì suy giảm là việc nhiều cơ sở sản xuất tại Bắc Ninh phải dừng hoạt động từ cuối năm 2024 nhằm đáp ứng các yêu cầu nghiêm ngặt hơn về bảo vệ môi trường.</w:t>
      </w:r>
    </w:p>
    <w:p w14:paraId="54D84A79" w14:textId="77777777" w:rsidR="00A9567C" w:rsidRPr="00531AEE" w:rsidRDefault="00A9567C" w:rsidP="00531AEE">
      <w:pPr>
        <w:jc w:val="both"/>
        <w:rPr>
          <w:rFonts w:ascii="Arial" w:hAnsi="Arial" w:cs="Arial"/>
          <w:lang w:val="vi-VN"/>
        </w:rPr>
      </w:pPr>
    </w:p>
    <w:p w14:paraId="1C4A1F88" w14:textId="08ADE37F" w:rsidR="00531AEE" w:rsidRDefault="00531AEE" w:rsidP="00531AEE">
      <w:pPr>
        <w:jc w:val="both"/>
        <w:rPr>
          <w:rFonts w:ascii="Arial" w:hAnsi="Arial" w:cs="Arial"/>
          <w:lang w:val="vi-VN"/>
        </w:rPr>
      </w:pPr>
      <w:r w:rsidRPr="00531AEE">
        <w:rPr>
          <w:rFonts w:ascii="Arial" w:hAnsi="Arial" w:cs="Arial"/>
          <w:lang w:val="vi-VN"/>
        </w:rPr>
        <w:t>Tại các làng nghề sản xuất giấy, toàn bộ 228/228 cơ sở đã ngừng hoạt động. Trong khi đó, tại cụm công nghiệp Phong Khê 1 và Phong Khê 2, có 135/137 cơ sở bị đóng cửa. Riêng tại cụm công nghiệp Phú Lâm, 20/25 cơ sở đã dừng sản xuất.</w:t>
      </w:r>
    </w:p>
    <w:p w14:paraId="11FD22F5" w14:textId="77777777" w:rsidR="00A9567C" w:rsidRPr="00531AEE" w:rsidRDefault="00A9567C" w:rsidP="00531AEE">
      <w:pPr>
        <w:jc w:val="both"/>
        <w:rPr>
          <w:rFonts w:ascii="Arial" w:hAnsi="Arial" w:cs="Arial"/>
          <w:lang w:val="vi-VN"/>
        </w:rPr>
      </w:pPr>
    </w:p>
    <w:p w14:paraId="62A85362" w14:textId="3732BDBD" w:rsidR="00531AEE" w:rsidRDefault="00531AEE" w:rsidP="00531AEE">
      <w:pPr>
        <w:jc w:val="both"/>
        <w:rPr>
          <w:rFonts w:ascii="Arial" w:hAnsi="Arial" w:cs="Arial"/>
          <w:lang w:val="vi-VN"/>
        </w:rPr>
      </w:pPr>
      <w:r w:rsidRPr="00531AEE">
        <w:rPr>
          <w:rFonts w:ascii="Arial" w:hAnsi="Arial" w:cs="Arial"/>
          <w:lang w:val="vi-VN"/>
        </w:rPr>
        <w:t>Hiện còn 5 cơ sở tại Phú Lâm đang trong giai đoạn vận hành thử nghiệm kéo dài 6 tháng (từ tháng 5 đến tháng 10/2026). Các doanh nghiệp này chỉ có thể tiếp tục hoạt động nếu đáp ứng đầy đủ các yêu cầu về môi trường và sử dụng đất. Tuy nhiên, ngay cả trong trường hợp được cấp phép duy trì sản xuất, các cơ sở này vẫn phải tuân thủ lộ trình chấm dứt hoạt động bắt buộc vào năm 2029.</w:t>
      </w:r>
    </w:p>
    <w:p w14:paraId="30A5BFFF" w14:textId="77777777" w:rsidR="00A9567C" w:rsidRPr="00531AEE" w:rsidRDefault="00A9567C" w:rsidP="00531AEE">
      <w:pPr>
        <w:jc w:val="both"/>
        <w:rPr>
          <w:rFonts w:ascii="Arial" w:hAnsi="Arial" w:cs="Arial"/>
          <w:lang w:val="vi-VN"/>
        </w:rPr>
      </w:pPr>
    </w:p>
    <w:p w14:paraId="6E93D288" w14:textId="77777777" w:rsidR="00531AEE" w:rsidRPr="00531AEE" w:rsidRDefault="00531AEE" w:rsidP="00531AEE">
      <w:pPr>
        <w:jc w:val="both"/>
        <w:rPr>
          <w:rFonts w:ascii="Arial" w:hAnsi="Arial" w:cs="Arial"/>
          <w:lang w:val="vi-VN"/>
        </w:rPr>
      </w:pPr>
      <w:r w:rsidRPr="00531AEE">
        <w:rPr>
          <w:rFonts w:ascii="Arial" w:hAnsi="Arial" w:cs="Arial"/>
          <w:lang w:val="vi-VN"/>
        </w:rPr>
        <w:t>Việc đóng cửa hàng loạt các cơ sở sản xuất tại Bắc Ninh đã tạo ra khoảng trống đáng kể về nguồn cung, đặc biệt trong phân khúc giấy bao bì tái chế – vốn đóng vai trò quan trọng đối với ngành sản xuất thùng carton và bao bì công nghiệp.</w:t>
      </w:r>
    </w:p>
    <w:p w14:paraId="786717AE" w14:textId="61C36649" w:rsidR="00531AEE" w:rsidRDefault="00F86F80" w:rsidP="00531AEE">
      <w:pPr>
        <w:jc w:val="both"/>
        <w:rPr>
          <w:rFonts w:ascii="Arial" w:hAnsi="Arial" w:cs="Arial"/>
          <w:lang w:val="vi-VN"/>
        </w:rPr>
      </w:pPr>
      <w:r w:rsidRPr="00F86F80">
        <w:rPr>
          <w:rFonts w:ascii="Arial" w:hAnsi="Arial" w:cs="Arial"/>
          <w:noProof/>
        </w:rPr>
        <w:drawing>
          <wp:inline distT="0" distB="0" distL="0" distR="0" wp14:anchorId="55DC4E79" wp14:editId="7A4611D2">
            <wp:extent cx="5943600" cy="2878455"/>
            <wp:effectExtent l="0" t="0" r="0" b="0"/>
            <wp:docPr id="6180506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50666" name="Picture 618050666"/>
                    <pic:cNvPicPr/>
                  </pic:nvPicPr>
                  <pic:blipFill>
                    <a:blip r:embed="rId5">
                      <a:extLst>
                        <a:ext uri="{28A0092B-C50C-407E-A947-70E740481C1C}">
                          <a14:useLocalDpi xmlns:a14="http://schemas.microsoft.com/office/drawing/2010/main" val="0"/>
                        </a:ext>
                      </a:extLst>
                    </a:blip>
                    <a:stretch>
                      <a:fillRect/>
                    </a:stretch>
                  </pic:blipFill>
                  <pic:spPr>
                    <a:xfrm>
                      <a:off x="0" y="0"/>
                      <a:ext cx="5943600" cy="2878455"/>
                    </a:xfrm>
                    <a:prstGeom prst="rect">
                      <a:avLst/>
                    </a:prstGeom>
                  </pic:spPr>
                </pic:pic>
              </a:graphicData>
            </a:graphic>
          </wp:inline>
        </w:drawing>
      </w:r>
      <w:r w:rsidR="00562066" w:rsidRPr="00531AEE">
        <w:rPr>
          <w:rFonts w:ascii="Arial" w:hAnsi="Arial" w:cs="Arial"/>
          <w:lang w:val="vi-VN"/>
        </w:rPr>
        <w:br/>
      </w:r>
      <w:r w:rsidR="00562066" w:rsidRPr="00531AEE">
        <w:rPr>
          <w:rFonts w:ascii="Arial" w:hAnsi="Arial" w:cs="Arial"/>
          <w:lang w:val="vi-VN"/>
        </w:rPr>
        <w:br/>
      </w:r>
      <w:r w:rsidR="00531AEE" w:rsidRPr="00531AEE">
        <w:rPr>
          <w:rFonts w:ascii="Arial" w:hAnsi="Arial" w:cs="Arial"/>
          <w:lang w:val="vi-VN"/>
        </w:rPr>
        <w:t>Trong nửa cuối năm 2026, thị trường dự kiến sẽ được bổ sung thêm một phần nguồn cung từ các dự án mới. Tuy nhiên, mức tăng công suất này được đánh giá vẫn chưa đủ để cân bằng cung – cầu trong nước.</w:t>
      </w:r>
    </w:p>
    <w:p w14:paraId="2037F7C1" w14:textId="77777777" w:rsidR="00A9567C" w:rsidRPr="00531AEE" w:rsidRDefault="00A9567C" w:rsidP="00531AEE">
      <w:pPr>
        <w:jc w:val="both"/>
        <w:rPr>
          <w:rFonts w:ascii="Arial" w:hAnsi="Arial" w:cs="Arial"/>
          <w:lang w:val="vi-VN"/>
        </w:rPr>
      </w:pPr>
    </w:p>
    <w:p w14:paraId="260462F3" w14:textId="77777777" w:rsidR="00531AEE" w:rsidRPr="00531AEE" w:rsidRDefault="00531AEE" w:rsidP="00531AEE">
      <w:pPr>
        <w:jc w:val="both"/>
        <w:rPr>
          <w:rFonts w:ascii="Arial" w:hAnsi="Arial" w:cs="Arial"/>
          <w:lang w:val="vi-VN"/>
        </w:rPr>
      </w:pPr>
      <w:r w:rsidRPr="00531AEE">
        <w:rPr>
          <w:rFonts w:ascii="Arial" w:hAnsi="Arial" w:cs="Arial"/>
          <w:lang w:val="vi-VN"/>
        </w:rPr>
        <w:t>Cụ thể, nguồn cung bổ sung dự kiến bao gồm khoảng 100.000 - 150.000 tấn/năm từ 5 nhà máy đang vận hành thử nghiệm tại Phú Lâm, cùng khoảng 800.000 tấn/năm từ các dự án mới dự kiến đi vào hoạt động trong nửa cuối năm 2026.</w:t>
      </w:r>
    </w:p>
    <w:p w14:paraId="1154DE1F" w14:textId="77777777" w:rsidR="00531AEE" w:rsidRPr="00531AEE" w:rsidRDefault="00531AEE" w:rsidP="00531AEE">
      <w:pPr>
        <w:jc w:val="both"/>
        <w:rPr>
          <w:rFonts w:ascii="Arial" w:hAnsi="Arial" w:cs="Arial"/>
          <w:lang w:val="vi-VN"/>
        </w:rPr>
      </w:pPr>
      <w:r w:rsidRPr="00531AEE">
        <w:rPr>
          <w:rFonts w:ascii="Arial" w:hAnsi="Arial" w:cs="Arial"/>
          <w:lang w:val="vi-VN"/>
        </w:rPr>
        <w:t>Các dự án lớn gồm:</w:t>
      </w:r>
    </w:p>
    <w:p w14:paraId="49EF1665" w14:textId="743B0624" w:rsidR="00452234" w:rsidRDefault="00452234" w:rsidP="00452234">
      <w:pPr>
        <w:jc w:val="both"/>
        <w:rPr>
          <w:rFonts w:ascii="Arial" w:hAnsi="Arial" w:cs="Arial"/>
          <w:lang w:val="vi-VN"/>
        </w:rPr>
      </w:pPr>
      <w:bookmarkStart w:id="0" w:name="_GoBack"/>
      <w:bookmarkEnd w:id="0"/>
    </w:p>
    <w:p w14:paraId="17679109" w14:textId="7B33C6C8" w:rsidR="00452234" w:rsidRDefault="00452234" w:rsidP="00452234">
      <w:pPr>
        <w:jc w:val="both"/>
        <w:rPr>
          <w:rFonts w:ascii="Arial" w:hAnsi="Arial" w:cs="Arial"/>
          <w:lang w:val="vi-VN"/>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702"/>
        <w:gridCol w:w="1694"/>
        <w:gridCol w:w="2940"/>
      </w:tblGrid>
      <w:tr w:rsidR="00452234" w14:paraId="1A6D0E18" w14:textId="77777777" w:rsidTr="00452234">
        <w:trPr>
          <w:tblHeader/>
          <w:tblCellSpacing w:w="15" w:type="dxa"/>
        </w:trPr>
        <w:tc>
          <w:tcPr>
            <w:tcW w:w="0" w:type="auto"/>
            <w:vAlign w:val="center"/>
            <w:hideMark/>
          </w:tcPr>
          <w:p w14:paraId="4361E0A3" w14:textId="77777777" w:rsidR="00452234" w:rsidRDefault="00452234">
            <w:pPr>
              <w:jc w:val="center"/>
              <w:rPr>
                <w:b/>
                <w:bCs/>
              </w:rPr>
            </w:pPr>
            <w:proofErr w:type="spellStart"/>
            <w:r>
              <w:rPr>
                <w:b/>
                <w:bCs/>
              </w:rPr>
              <w:t>Doanh</w:t>
            </w:r>
            <w:proofErr w:type="spellEnd"/>
            <w:r>
              <w:rPr>
                <w:b/>
                <w:bCs/>
              </w:rPr>
              <w:t xml:space="preserve"> </w:t>
            </w:r>
            <w:proofErr w:type="spellStart"/>
            <w:r>
              <w:rPr>
                <w:b/>
                <w:bCs/>
              </w:rPr>
              <w:t>nghiệp</w:t>
            </w:r>
            <w:proofErr w:type="spellEnd"/>
            <w:r>
              <w:rPr>
                <w:b/>
                <w:bCs/>
              </w:rPr>
              <w:t xml:space="preserve"> / </w:t>
            </w:r>
            <w:proofErr w:type="spellStart"/>
            <w:r>
              <w:rPr>
                <w:b/>
                <w:bCs/>
              </w:rPr>
              <w:t>dự</w:t>
            </w:r>
            <w:proofErr w:type="spellEnd"/>
            <w:r>
              <w:rPr>
                <w:b/>
                <w:bCs/>
              </w:rPr>
              <w:t xml:space="preserve"> </w:t>
            </w:r>
            <w:proofErr w:type="spellStart"/>
            <w:r>
              <w:rPr>
                <w:b/>
                <w:bCs/>
              </w:rPr>
              <w:t>án</w:t>
            </w:r>
            <w:proofErr w:type="spellEnd"/>
          </w:p>
        </w:tc>
        <w:tc>
          <w:tcPr>
            <w:tcW w:w="0" w:type="auto"/>
            <w:vAlign w:val="center"/>
            <w:hideMark/>
          </w:tcPr>
          <w:p w14:paraId="1CF39466" w14:textId="77777777" w:rsidR="00452234" w:rsidRDefault="00452234">
            <w:pPr>
              <w:jc w:val="right"/>
              <w:rPr>
                <w:b/>
                <w:bCs/>
              </w:rPr>
            </w:pPr>
            <w:proofErr w:type="spellStart"/>
            <w:r>
              <w:rPr>
                <w:b/>
                <w:bCs/>
              </w:rPr>
              <w:t>Công</w:t>
            </w:r>
            <w:proofErr w:type="spellEnd"/>
            <w:r>
              <w:rPr>
                <w:b/>
                <w:bCs/>
              </w:rPr>
              <w:t xml:space="preserve"> </w:t>
            </w:r>
            <w:proofErr w:type="spellStart"/>
            <w:r>
              <w:rPr>
                <w:b/>
                <w:bCs/>
              </w:rPr>
              <w:t>suất</w:t>
            </w:r>
            <w:proofErr w:type="spellEnd"/>
          </w:p>
        </w:tc>
        <w:tc>
          <w:tcPr>
            <w:tcW w:w="0" w:type="auto"/>
            <w:vAlign w:val="center"/>
            <w:hideMark/>
          </w:tcPr>
          <w:p w14:paraId="4790D5F6" w14:textId="77777777" w:rsidR="00452234" w:rsidRDefault="00452234">
            <w:pPr>
              <w:jc w:val="center"/>
              <w:rPr>
                <w:b/>
                <w:bCs/>
              </w:rPr>
            </w:pPr>
            <w:proofErr w:type="spellStart"/>
            <w:r>
              <w:rPr>
                <w:b/>
                <w:bCs/>
              </w:rPr>
              <w:t>Thời</w:t>
            </w:r>
            <w:proofErr w:type="spellEnd"/>
            <w:r>
              <w:rPr>
                <w:b/>
                <w:bCs/>
              </w:rPr>
              <w:t xml:space="preserve"> </w:t>
            </w:r>
            <w:proofErr w:type="spellStart"/>
            <w:r>
              <w:rPr>
                <w:b/>
                <w:bCs/>
              </w:rPr>
              <w:t>gian</w:t>
            </w:r>
            <w:proofErr w:type="spellEnd"/>
            <w:r>
              <w:rPr>
                <w:b/>
                <w:bCs/>
              </w:rPr>
              <w:t xml:space="preserve"> </w:t>
            </w:r>
            <w:proofErr w:type="spellStart"/>
            <w:r>
              <w:rPr>
                <w:b/>
                <w:bCs/>
              </w:rPr>
              <w:t>dự</w:t>
            </w:r>
            <w:proofErr w:type="spellEnd"/>
            <w:r>
              <w:rPr>
                <w:b/>
                <w:bCs/>
              </w:rPr>
              <w:t xml:space="preserve"> </w:t>
            </w:r>
            <w:proofErr w:type="spellStart"/>
            <w:r>
              <w:rPr>
                <w:b/>
                <w:bCs/>
              </w:rPr>
              <w:t>kiến</w:t>
            </w:r>
            <w:proofErr w:type="spellEnd"/>
            <w:r>
              <w:rPr>
                <w:b/>
                <w:bCs/>
              </w:rPr>
              <w:t xml:space="preserve"> </w:t>
            </w:r>
            <w:proofErr w:type="spellStart"/>
            <w:r>
              <w:rPr>
                <w:b/>
                <w:bCs/>
              </w:rPr>
              <w:t>vận</w:t>
            </w:r>
            <w:proofErr w:type="spellEnd"/>
            <w:r>
              <w:rPr>
                <w:b/>
                <w:bCs/>
              </w:rPr>
              <w:t xml:space="preserve"> </w:t>
            </w:r>
            <w:proofErr w:type="spellStart"/>
            <w:r>
              <w:rPr>
                <w:b/>
                <w:bCs/>
              </w:rPr>
              <w:t>hành</w:t>
            </w:r>
            <w:proofErr w:type="spellEnd"/>
          </w:p>
        </w:tc>
      </w:tr>
      <w:tr w:rsidR="00452234" w14:paraId="3270D227" w14:textId="77777777" w:rsidTr="00452234">
        <w:trPr>
          <w:tblCellSpacing w:w="15" w:type="dxa"/>
        </w:trPr>
        <w:tc>
          <w:tcPr>
            <w:tcW w:w="0" w:type="auto"/>
            <w:vAlign w:val="center"/>
            <w:hideMark/>
          </w:tcPr>
          <w:p w14:paraId="64C26C62" w14:textId="77777777" w:rsidR="00452234" w:rsidRDefault="00452234">
            <w:r>
              <w:rPr>
                <w:rStyle w:val="Strong"/>
                <w:rFonts w:eastAsiaTheme="majorEastAsia"/>
              </w:rPr>
              <w:t>HHP (</w:t>
            </w:r>
            <w:proofErr w:type="spellStart"/>
            <w:r>
              <w:rPr>
                <w:rStyle w:val="Strong"/>
                <w:rFonts w:eastAsiaTheme="majorEastAsia"/>
              </w:rPr>
              <w:t>Hoàng</w:t>
            </w:r>
            <w:proofErr w:type="spellEnd"/>
            <w:r>
              <w:rPr>
                <w:rStyle w:val="Strong"/>
                <w:rFonts w:eastAsiaTheme="majorEastAsia"/>
              </w:rPr>
              <w:t xml:space="preserve"> </w:t>
            </w:r>
            <w:proofErr w:type="spellStart"/>
            <w:r>
              <w:rPr>
                <w:rStyle w:val="Strong"/>
                <w:rFonts w:eastAsiaTheme="majorEastAsia"/>
              </w:rPr>
              <w:t>Hà</w:t>
            </w:r>
            <w:proofErr w:type="spellEnd"/>
            <w:r>
              <w:rPr>
                <w:rStyle w:val="Strong"/>
                <w:rFonts w:eastAsiaTheme="majorEastAsia"/>
              </w:rPr>
              <w:t xml:space="preserve"> </w:t>
            </w:r>
            <w:proofErr w:type="spellStart"/>
            <w:r>
              <w:rPr>
                <w:rStyle w:val="Strong"/>
                <w:rFonts w:eastAsiaTheme="majorEastAsia"/>
              </w:rPr>
              <w:t>Phú</w:t>
            </w:r>
            <w:proofErr w:type="spellEnd"/>
            <w:r>
              <w:rPr>
                <w:rStyle w:val="Strong"/>
                <w:rFonts w:eastAsiaTheme="majorEastAsia"/>
              </w:rPr>
              <w:t xml:space="preserve"> </w:t>
            </w:r>
            <w:proofErr w:type="spellStart"/>
            <w:r>
              <w:rPr>
                <w:rStyle w:val="Strong"/>
                <w:rFonts w:eastAsiaTheme="majorEastAsia"/>
              </w:rPr>
              <w:t>Yên</w:t>
            </w:r>
            <w:proofErr w:type="spellEnd"/>
            <w:r>
              <w:rPr>
                <w:rStyle w:val="Strong"/>
                <w:rFonts w:eastAsiaTheme="majorEastAsia"/>
              </w:rPr>
              <w:t>)</w:t>
            </w:r>
          </w:p>
        </w:tc>
        <w:tc>
          <w:tcPr>
            <w:tcW w:w="0" w:type="auto"/>
            <w:vAlign w:val="center"/>
            <w:hideMark/>
          </w:tcPr>
          <w:p w14:paraId="11C4D840" w14:textId="77777777" w:rsidR="00452234" w:rsidRDefault="00452234">
            <w:pPr>
              <w:jc w:val="right"/>
            </w:pPr>
            <w:r>
              <w:t xml:space="preserve">100.000 </w:t>
            </w:r>
            <w:proofErr w:type="spellStart"/>
            <w:r>
              <w:t>tấn</w:t>
            </w:r>
            <w:proofErr w:type="spellEnd"/>
            <w:r>
              <w:t>/</w:t>
            </w:r>
            <w:proofErr w:type="spellStart"/>
            <w:r>
              <w:t>năm</w:t>
            </w:r>
            <w:proofErr w:type="spellEnd"/>
          </w:p>
        </w:tc>
        <w:tc>
          <w:tcPr>
            <w:tcW w:w="0" w:type="auto"/>
            <w:vAlign w:val="center"/>
            <w:hideMark/>
          </w:tcPr>
          <w:p w14:paraId="47A8D143" w14:textId="77777777" w:rsidR="00452234" w:rsidRDefault="00452234">
            <w:proofErr w:type="spellStart"/>
            <w:r>
              <w:t>Quý</w:t>
            </w:r>
            <w:proofErr w:type="spellEnd"/>
            <w:r>
              <w:t xml:space="preserve"> III/2026</w:t>
            </w:r>
          </w:p>
        </w:tc>
      </w:tr>
      <w:tr w:rsidR="00452234" w14:paraId="1583870D" w14:textId="77777777" w:rsidTr="00452234">
        <w:trPr>
          <w:tblCellSpacing w:w="15" w:type="dxa"/>
        </w:trPr>
        <w:tc>
          <w:tcPr>
            <w:tcW w:w="0" w:type="auto"/>
            <w:vAlign w:val="center"/>
            <w:hideMark/>
          </w:tcPr>
          <w:p w14:paraId="2D3B01B4" w14:textId="77777777" w:rsidR="00452234" w:rsidRDefault="00452234">
            <w:r>
              <w:rPr>
                <w:rStyle w:val="Strong"/>
                <w:rFonts w:eastAsiaTheme="majorEastAsia"/>
              </w:rPr>
              <w:t xml:space="preserve">GDT Nam </w:t>
            </w:r>
            <w:proofErr w:type="spellStart"/>
            <w:r>
              <w:rPr>
                <w:rStyle w:val="Strong"/>
                <w:rFonts w:eastAsiaTheme="majorEastAsia"/>
              </w:rPr>
              <w:t>Định</w:t>
            </w:r>
            <w:proofErr w:type="spellEnd"/>
          </w:p>
        </w:tc>
        <w:tc>
          <w:tcPr>
            <w:tcW w:w="0" w:type="auto"/>
            <w:vAlign w:val="center"/>
            <w:hideMark/>
          </w:tcPr>
          <w:p w14:paraId="4BBD2092" w14:textId="77777777" w:rsidR="00452234" w:rsidRDefault="00452234">
            <w:pPr>
              <w:jc w:val="right"/>
            </w:pPr>
            <w:r>
              <w:t xml:space="preserve">300.000 </w:t>
            </w:r>
            <w:proofErr w:type="spellStart"/>
            <w:r>
              <w:t>tấn</w:t>
            </w:r>
            <w:proofErr w:type="spellEnd"/>
            <w:r>
              <w:t>/</w:t>
            </w:r>
            <w:proofErr w:type="spellStart"/>
            <w:r>
              <w:t>năm</w:t>
            </w:r>
            <w:proofErr w:type="spellEnd"/>
          </w:p>
        </w:tc>
        <w:tc>
          <w:tcPr>
            <w:tcW w:w="0" w:type="auto"/>
            <w:vAlign w:val="center"/>
            <w:hideMark/>
          </w:tcPr>
          <w:p w14:paraId="31975423" w14:textId="77777777" w:rsidR="00452234" w:rsidRDefault="00452234">
            <w:proofErr w:type="spellStart"/>
            <w:r>
              <w:t>Quý</w:t>
            </w:r>
            <w:proofErr w:type="spellEnd"/>
            <w:r>
              <w:t xml:space="preserve"> IV/2026</w:t>
            </w:r>
          </w:p>
        </w:tc>
      </w:tr>
      <w:tr w:rsidR="00452234" w14:paraId="5F388D77" w14:textId="77777777" w:rsidTr="00452234">
        <w:trPr>
          <w:tblCellSpacing w:w="15" w:type="dxa"/>
        </w:trPr>
        <w:tc>
          <w:tcPr>
            <w:tcW w:w="0" w:type="auto"/>
            <w:vAlign w:val="center"/>
            <w:hideMark/>
          </w:tcPr>
          <w:p w14:paraId="71E0CA5F" w14:textId="77777777" w:rsidR="00452234" w:rsidRDefault="00452234">
            <w:proofErr w:type="spellStart"/>
            <w:r>
              <w:rPr>
                <w:rStyle w:val="Strong"/>
                <w:rFonts w:eastAsiaTheme="majorEastAsia"/>
              </w:rPr>
              <w:t>Miza</w:t>
            </w:r>
            <w:proofErr w:type="spellEnd"/>
            <w:r>
              <w:rPr>
                <w:rStyle w:val="Strong"/>
                <w:rFonts w:eastAsiaTheme="majorEastAsia"/>
              </w:rPr>
              <w:t xml:space="preserve"> </w:t>
            </w:r>
            <w:proofErr w:type="spellStart"/>
            <w:r>
              <w:rPr>
                <w:rStyle w:val="Strong"/>
                <w:rFonts w:eastAsiaTheme="majorEastAsia"/>
              </w:rPr>
              <w:t>Nghi</w:t>
            </w:r>
            <w:proofErr w:type="spellEnd"/>
            <w:r>
              <w:rPr>
                <w:rStyle w:val="Strong"/>
                <w:rFonts w:eastAsiaTheme="majorEastAsia"/>
              </w:rPr>
              <w:t xml:space="preserve"> </w:t>
            </w:r>
            <w:proofErr w:type="spellStart"/>
            <w:r>
              <w:rPr>
                <w:rStyle w:val="Strong"/>
                <w:rFonts w:eastAsiaTheme="majorEastAsia"/>
              </w:rPr>
              <w:t>Sơn</w:t>
            </w:r>
            <w:proofErr w:type="spellEnd"/>
            <w:r>
              <w:rPr>
                <w:rStyle w:val="Strong"/>
                <w:rFonts w:eastAsiaTheme="majorEastAsia"/>
              </w:rPr>
              <w:t xml:space="preserve"> – </w:t>
            </w:r>
            <w:proofErr w:type="spellStart"/>
            <w:r>
              <w:rPr>
                <w:rStyle w:val="Strong"/>
                <w:rFonts w:eastAsiaTheme="majorEastAsia"/>
              </w:rPr>
              <w:t>giai</w:t>
            </w:r>
            <w:proofErr w:type="spellEnd"/>
            <w:r>
              <w:rPr>
                <w:rStyle w:val="Strong"/>
                <w:rFonts w:eastAsiaTheme="majorEastAsia"/>
              </w:rPr>
              <w:t xml:space="preserve"> </w:t>
            </w:r>
            <w:proofErr w:type="spellStart"/>
            <w:r>
              <w:rPr>
                <w:rStyle w:val="Strong"/>
                <w:rFonts w:eastAsiaTheme="majorEastAsia"/>
              </w:rPr>
              <w:t>đoạn</w:t>
            </w:r>
            <w:proofErr w:type="spellEnd"/>
            <w:r>
              <w:rPr>
                <w:rStyle w:val="Strong"/>
                <w:rFonts w:eastAsiaTheme="majorEastAsia"/>
              </w:rPr>
              <w:t xml:space="preserve"> 2 (MP5)</w:t>
            </w:r>
          </w:p>
        </w:tc>
        <w:tc>
          <w:tcPr>
            <w:tcW w:w="0" w:type="auto"/>
            <w:vAlign w:val="center"/>
            <w:hideMark/>
          </w:tcPr>
          <w:p w14:paraId="57C097BF" w14:textId="77777777" w:rsidR="00452234" w:rsidRDefault="00452234">
            <w:pPr>
              <w:jc w:val="right"/>
            </w:pPr>
            <w:r>
              <w:t xml:space="preserve">100.000 </w:t>
            </w:r>
            <w:proofErr w:type="spellStart"/>
            <w:r>
              <w:t>tấn</w:t>
            </w:r>
            <w:proofErr w:type="spellEnd"/>
            <w:r>
              <w:t>/</w:t>
            </w:r>
            <w:proofErr w:type="spellStart"/>
            <w:r>
              <w:t>năm</w:t>
            </w:r>
            <w:proofErr w:type="spellEnd"/>
          </w:p>
        </w:tc>
        <w:tc>
          <w:tcPr>
            <w:tcW w:w="0" w:type="auto"/>
            <w:vAlign w:val="center"/>
            <w:hideMark/>
          </w:tcPr>
          <w:p w14:paraId="128A5055" w14:textId="77777777" w:rsidR="00452234" w:rsidRDefault="00452234">
            <w:proofErr w:type="spellStart"/>
            <w:r>
              <w:t>Quý</w:t>
            </w:r>
            <w:proofErr w:type="spellEnd"/>
            <w:r>
              <w:t xml:space="preserve"> III/2026</w:t>
            </w:r>
          </w:p>
        </w:tc>
      </w:tr>
      <w:tr w:rsidR="00452234" w14:paraId="61ECEF90" w14:textId="77777777" w:rsidTr="00452234">
        <w:trPr>
          <w:tblCellSpacing w:w="15" w:type="dxa"/>
        </w:trPr>
        <w:tc>
          <w:tcPr>
            <w:tcW w:w="0" w:type="auto"/>
            <w:vAlign w:val="center"/>
            <w:hideMark/>
          </w:tcPr>
          <w:p w14:paraId="1797FE1A" w14:textId="77777777" w:rsidR="00452234" w:rsidRDefault="00452234">
            <w:proofErr w:type="spellStart"/>
            <w:r>
              <w:rPr>
                <w:rStyle w:val="Strong"/>
                <w:rFonts w:eastAsiaTheme="majorEastAsia"/>
              </w:rPr>
              <w:t>Chengloong</w:t>
            </w:r>
            <w:proofErr w:type="spellEnd"/>
            <w:r>
              <w:rPr>
                <w:rStyle w:val="Strong"/>
                <w:rFonts w:eastAsiaTheme="majorEastAsia"/>
              </w:rPr>
              <w:t xml:space="preserve"> </w:t>
            </w:r>
            <w:proofErr w:type="spellStart"/>
            <w:r>
              <w:rPr>
                <w:rStyle w:val="Strong"/>
                <w:rFonts w:eastAsiaTheme="majorEastAsia"/>
              </w:rPr>
              <w:t>Bình</w:t>
            </w:r>
            <w:proofErr w:type="spellEnd"/>
            <w:r>
              <w:rPr>
                <w:rStyle w:val="Strong"/>
                <w:rFonts w:eastAsiaTheme="majorEastAsia"/>
              </w:rPr>
              <w:t xml:space="preserve"> </w:t>
            </w:r>
            <w:proofErr w:type="spellStart"/>
            <w:r>
              <w:rPr>
                <w:rStyle w:val="Strong"/>
                <w:rFonts w:eastAsiaTheme="majorEastAsia"/>
              </w:rPr>
              <w:t>Dương</w:t>
            </w:r>
            <w:proofErr w:type="spellEnd"/>
          </w:p>
        </w:tc>
        <w:tc>
          <w:tcPr>
            <w:tcW w:w="0" w:type="auto"/>
            <w:vAlign w:val="center"/>
            <w:hideMark/>
          </w:tcPr>
          <w:p w14:paraId="3CFBE631" w14:textId="77777777" w:rsidR="00452234" w:rsidRDefault="00452234">
            <w:pPr>
              <w:jc w:val="right"/>
            </w:pPr>
            <w:r>
              <w:t xml:space="preserve">300.000 </w:t>
            </w:r>
            <w:proofErr w:type="spellStart"/>
            <w:r>
              <w:t>tấn</w:t>
            </w:r>
            <w:proofErr w:type="spellEnd"/>
            <w:r>
              <w:t>/</w:t>
            </w:r>
            <w:proofErr w:type="spellStart"/>
            <w:r>
              <w:t>năm</w:t>
            </w:r>
            <w:proofErr w:type="spellEnd"/>
          </w:p>
        </w:tc>
        <w:tc>
          <w:tcPr>
            <w:tcW w:w="0" w:type="auto"/>
            <w:vAlign w:val="center"/>
            <w:hideMark/>
          </w:tcPr>
          <w:p w14:paraId="26BAA8DD" w14:textId="77777777" w:rsidR="00452234" w:rsidRDefault="00452234">
            <w:proofErr w:type="spellStart"/>
            <w:r>
              <w:t>Quý</w:t>
            </w:r>
            <w:proofErr w:type="spellEnd"/>
            <w:r>
              <w:t xml:space="preserve"> IV/2026</w:t>
            </w:r>
          </w:p>
        </w:tc>
      </w:tr>
    </w:tbl>
    <w:p w14:paraId="0C5DCF8F" w14:textId="77777777" w:rsidR="00452234" w:rsidRPr="00531AEE" w:rsidRDefault="00452234" w:rsidP="00452234">
      <w:pPr>
        <w:jc w:val="both"/>
        <w:rPr>
          <w:rFonts w:ascii="Arial" w:hAnsi="Arial" w:cs="Arial"/>
          <w:lang w:val="vi-VN"/>
        </w:rPr>
      </w:pPr>
    </w:p>
    <w:p w14:paraId="40B608AB" w14:textId="59AF59E0" w:rsidR="00531AEE" w:rsidRDefault="00531AEE" w:rsidP="00531AEE">
      <w:pPr>
        <w:jc w:val="both"/>
        <w:rPr>
          <w:rFonts w:ascii="Arial" w:hAnsi="Arial" w:cs="Arial"/>
          <w:lang w:val="vi-VN"/>
        </w:rPr>
      </w:pPr>
      <w:r w:rsidRPr="00531AEE">
        <w:rPr>
          <w:rFonts w:ascii="Arial" w:hAnsi="Arial" w:cs="Arial"/>
          <w:lang w:val="vi-VN"/>
        </w:rPr>
        <w:t>Tính đến giữa tháng 8/2026, một số nhà máy giấy tại khu vực phía Nam vẫn đang trong quá trình hoàn thiện thủ tục phê duyệt báo cáo đánh giá tác động môi trường (ĐTM) cho các dự án dự kiến vận hành cuối năm 2026 và đầu năm 2027. Trong khi đó, các nhà máy tại khu vực Phú Lâm đã bắt đầu đi vào hoạt động.</w:t>
      </w:r>
    </w:p>
    <w:p w14:paraId="3717DC2A" w14:textId="77777777" w:rsidR="00452234" w:rsidRPr="00531AEE" w:rsidRDefault="00452234" w:rsidP="00531AEE">
      <w:pPr>
        <w:jc w:val="both"/>
        <w:rPr>
          <w:rFonts w:ascii="Arial" w:hAnsi="Arial" w:cs="Arial"/>
          <w:lang w:val="vi-VN"/>
        </w:rPr>
      </w:pPr>
    </w:p>
    <w:p w14:paraId="7675F6C1" w14:textId="2965FF6A" w:rsidR="00F86F80" w:rsidRDefault="00562066" w:rsidP="00A9567C">
      <w:pPr>
        <w:pStyle w:val="Heading2"/>
        <w:rPr>
          <w:lang w:val="vi-VN"/>
        </w:rPr>
      </w:pPr>
      <w:r w:rsidRPr="00F86F80">
        <w:rPr>
          <w:lang w:val="vi-VN"/>
        </w:rPr>
        <w:lastRenderedPageBreak/>
        <w:t>Nhu cầu tăng mạnh nhờ xu hướng thay thế bao bì nhựa</w:t>
      </w:r>
    </w:p>
    <w:p w14:paraId="49045C46" w14:textId="77777777" w:rsidR="00452234" w:rsidRPr="00F86F80" w:rsidRDefault="00452234" w:rsidP="00531AEE">
      <w:pPr>
        <w:jc w:val="both"/>
        <w:rPr>
          <w:rFonts w:ascii="Arial" w:hAnsi="Arial" w:cs="Arial"/>
          <w:b/>
          <w:bCs/>
          <w:lang w:val="vi-VN"/>
        </w:rPr>
      </w:pPr>
    </w:p>
    <w:p w14:paraId="41794270" w14:textId="77777777" w:rsidR="00A71FFA" w:rsidRPr="00A71FFA" w:rsidRDefault="00A71FFA" w:rsidP="00A71FFA">
      <w:pPr>
        <w:jc w:val="both"/>
        <w:rPr>
          <w:rFonts w:ascii="Arial" w:hAnsi="Arial" w:cs="Arial"/>
          <w:lang w:val="vi-VN"/>
        </w:rPr>
      </w:pPr>
      <w:r w:rsidRPr="00A71FFA">
        <w:rPr>
          <w:rFonts w:ascii="Arial" w:hAnsi="Arial" w:cs="Arial"/>
          <w:lang w:val="vi-VN"/>
        </w:rPr>
        <w:t>Trong khi nguồn cung bị hạn chế, nhu cầu sử dụng bao bì giấy tiếp tục tăng nhờ xu hướng chuyển dịch từ bao bì nhựa sang các sản phẩm thân thiện hơn với môi trường.</w:t>
      </w:r>
    </w:p>
    <w:p w14:paraId="1BC8293D" w14:textId="77777777" w:rsidR="00452234" w:rsidRDefault="00452234" w:rsidP="00A71FFA">
      <w:pPr>
        <w:jc w:val="both"/>
        <w:rPr>
          <w:rFonts w:ascii="Arial" w:hAnsi="Arial" w:cs="Arial"/>
          <w:lang w:val="vi-VN"/>
        </w:rPr>
      </w:pPr>
    </w:p>
    <w:p w14:paraId="63F69029" w14:textId="68E2C806" w:rsidR="00A71FFA" w:rsidRDefault="00A71FFA" w:rsidP="00A71FFA">
      <w:pPr>
        <w:jc w:val="both"/>
        <w:rPr>
          <w:rFonts w:ascii="Arial" w:hAnsi="Arial" w:cs="Arial"/>
          <w:lang w:val="vi-VN"/>
        </w:rPr>
      </w:pPr>
      <w:r w:rsidRPr="00A71FFA">
        <w:rPr>
          <w:rFonts w:ascii="Arial" w:hAnsi="Arial" w:cs="Arial"/>
          <w:lang w:val="vi-VN"/>
        </w:rPr>
        <w:t>Đặc biệt, chi phí bao bì nhựa đã tăng mạnh 30-40% so với cùng kỳ trong quý II/2026, khiến nhiều doanh nghiệp đẩy nhanh quá trình tìm kiếm các giải pháp thay thế nhằm tối ưu chi phí.</w:t>
      </w:r>
    </w:p>
    <w:p w14:paraId="5F20773A" w14:textId="77777777" w:rsidR="00452234" w:rsidRPr="00A71FFA" w:rsidRDefault="00452234" w:rsidP="00A71FFA">
      <w:pPr>
        <w:jc w:val="both"/>
        <w:rPr>
          <w:rFonts w:ascii="Arial" w:hAnsi="Arial" w:cs="Arial"/>
          <w:lang w:val="vi-VN"/>
        </w:rPr>
      </w:pPr>
    </w:p>
    <w:p w14:paraId="05056E0F" w14:textId="7B8ADF3B" w:rsidR="00A71FFA" w:rsidRDefault="00A71FFA" w:rsidP="00A71FFA">
      <w:pPr>
        <w:jc w:val="both"/>
        <w:rPr>
          <w:rFonts w:ascii="Arial" w:hAnsi="Arial" w:cs="Arial"/>
          <w:lang w:val="vi-VN"/>
        </w:rPr>
      </w:pPr>
      <w:r w:rsidRPr="00A71FFA">
        <w:rPr>
          <w:rFonts w:ascii="Arial" w:hAnsi="Arial" w:cs="Arial"/>
          <w:lang w:val="vi-VN"/>
        </w:rPr>
        <w:t>Bên cạnh yếu tố giá thành, xu hướng tiêu dùng xanh cũng đang trở thành động lực quan trọng thúc đẩy nhu cầu bao bì giấy. Theo VPPA, tỷ lệ người tiêu dùng tại Đông Nam Á sẵn sàng chi trả mức giá cao hơn cho các sản phẩm bao bì thân thiện với môi trường hiện đạt khoảng 40-50%.</w:t>
      </w:r>
    </w:p>
    <w:p w14:paraId="19A2E19B" w14:textId="77777777" w:rsidR="00452234" w:rsidRPr="00A71FFA" w:rsidRDefault="00452234" w:rsidP="00A71FFA">
      <w:pPr>
        <w:jc w:val="both"/>
        <w:rPr>
          <w:rFonts w:ascii="Arial" w:hAnsi="Arial" w:cs="Arial"/>
          <w:lang w:val="vi-VN"/>
        </w:rPr>
      </w:pPr>
    </w:p>
    <w:p w14:paraId="3C5BDDE9" w14:textId="18B5C4DD" w:rsidR="00A71FFA" w:rsidRDefault="00A71FFA" w:rsidP="00A71FFA">
      <w:pPr>
        <w:jc w:val="both"/>
        <w:rPr>
          <w:rFonts w:ascii="Arial" w:hAnsi="Arial" w:cs="Arial"/>
          <w:lang w:val="vi-VN"/>
        </w:rPr>
      </w:pPr>
      <w:r w:rsidRPr="00A71FFA">
        <w:rPr>
          <w:rFonts w:ascii="Arial" w:hAnsi="Arial" w:cs="Arial"/>
          <w:lang w:val="vi-VN"/>
        </w:rPr>
        <w:t>Mặc dù mức này vẫn thấp hơn so với các thị trường phát triển như Hàn Quốc và Nhật Bản, nơi tỷ lệ sẵn sàng chi trả đạt 60-70%, nhưng khoảng cách này cho thấy dư địa tăng trưởng của ngành bao bì giấy tại khu vực Đông Nam Á vẫn còn rất lớn.</w:t>
      </w:r>
    </w:p>
    <w:p w14:paraId="104E05B0" w14:textId="77777777" w:rsidR="00452234" w:rsidRPr="00A71FFA" w:rsidRDefault="00452234" w:rsidP="00A71FFA">
      <w:pPr>
        <w:jc w:val="both"/>
        <w:rPr>
          <w:rFonts w:ascii="Arial" w:hAnsi="Arial" w:cs="Arial"/>
          <w:lang w:val="vi-VN"/>
        </w:rPr>
      </w:pPr>
    </w:p>
    <w:p w14:paraId="07A540B4" w14:textId="1C3CFBA5" w:rsidR="00A71FFA" w:rsidRDefault="00A71FFA" w:rsidP="00A9567C">
      <w:pPr>
        <w:pStyle w:val="Heading2"/>
        <w:rPr>
          <w:lang w:val="vi-VN"/>
        </w:rPr>
      </w:pPr>
      <w:r w:rsidRPr="00A71FFA">
        <w:rPr>
          <w:lang w:val="vi-VN"/>
        </w:rPr>
        <w:t>Giá giấy bao bì tiếp tục được hỗ trợ bởi yếu tố cung – cầu</w:t>
      </w:r>
    </w:p>
    <w:p w14:paraId="6A8EA016" w14:textId="77777777" w:rsidR="00452234" w:rsidRDefault="00452234" w:rsidP="000011DC">
      <w:pPr>
        <w:jc w:val="both"/>
        <w:rPr>
          <w:rFonts w:ascii="Arial" w:hAnsi="Arial" w:cs="Arial"/>
          <w:b/>
          <w:bCs/>
          <w:lang w:val="vi-VN"/>
        </w:rPr>
      </w:pPr>
    </w:p>
    <w:p w14:paraId="7353BF70" w14:textId="7CA06034" w:rsidR="00A71FFA" w:rsidRDefault="00A71FFA" w:rsidP="00A71FFA">
      <w:pPr>
        <w:jc w:val="both"/>
        <w:rPr>
          <w:rFonts w:ascii="Arial" w:hAnsi="Arial" w:cs="Arial"/>
          <w:lang w:val="vi-VN"/>
        </w:rPr>
      </w:pPr>
      <w:r w:rsidRPr="00A71FFA">
        <w:rPr>
          <w:rFonts w:ascii="Arial" w:hAnsi="Arial" w:cs="Arial"/>
          <w:lang w:val="vi-VN"/>
        </w:rPr>
        <w:t>Triển vọng giá giấy bao bì và thùng carton được đánh giá tích cực khi thị trường tiếp tục đối mặt với tình trạng thiếu hụt nguồn cung trong ít nhất 3 năm tới.</w:t>
      </w:r>
    </w:p>
    <w:p w14:paraId="2F97A088" w14:textId="77777777" w:rsidR="00452234" w:rsidRPr="00A71FFA" w:rsidRDefault="00452234" w:rsidP="00A71FFA">
      <w:pPr>
        <w:jc w:val="both"/>
        <w:rPr>
          <w:rFonts w:ascii="Arial" w:hAnsi="Arial" w:cs="Arial"/>
          <w:lang w:val="vi-VN"/>
        </w:rPr>
      </w:pPr>
    </w:p>
    <w:p w14:paraId="6EE42BD0" w14:textId="66F63BC6" w:rsidR="00A71FFA" w:rsidRDefault="00A71FFA" w:rsidP="00A71FFA">
      <w:pPr>
        <w:jc w:val="both"/>
        <w:rPr>
          <w:rFonts w:ascii="Arial" w:hAnsi="Arial" w:cs="Arial"/>
          <w:lang w:val="vi-VN"/>
        </w:rPr>
      </w:pPr>
      <w:r w:rsidRPr="00A71FFA">
        <w:rPr>
          <w:rFonts w:ascii="Arial" w:hAnsi="Arial" w:cs="Arial"/>
          <w:lang w:val="vi-VN"/>
        </w:rPr>
        <w:t>Việc Chính phủ tăng cường thực thi các quy định về môi trường đã tác động trực tiếp đến năng lực sản xuất của ngành, khiến giá giấy tăng mạnh từ quý II/2025 đến nay. Trong bối cảnh nguồn cung chưa thể phục hồi hoàn toàn, mặt bằng giá được kỳ vọng tiếp tục duy trì xu hướng tích cực.</w:t>
      </w:r>
    </w:p>
    <w:p w14:paraId="0F6007E1" w14:textId="77777777" w:rsidR="00452234" w:rsidRPr="00A71FFA" w:rsidRDefault="00452234" w:rsidP="00A71FFA">
      <w:pPr>
        <w:jc w:val="both"/>
        <w:rPr>
          <w:rFonts w:ascii="Arial" w:hAnsi="Arial" w:cs="Arial"/>
          <w:lang w:val="vi-VN"/>
        </w:rPr>
      </w:pPr>
    </w:p>
    <w:p w14:paraId="4271BBC8" w14:textId="77777777" w:rsidR="00A71FFA" w:rsidRPr="00A71FFA" w:rsidRDefault="00A71FFA" w:rsidP="00A71FFA">
      <w:pPr>
        <w:jc w:val="both"/>
        <w:rPr>
          <w:rFonts w:ascii="Arial" w:hAnsi="Arial" w:cs="Arial"/>
          <w:lang w:val="vi-VN"/>
        </w:rPr>
      </w:pPr>
      <w:r w:rsidRPr="00A71FFA">
        <w:rPr>
          <w:rFonts w:ascii="Arial" w:hAnsi="Arial" w:cs="Arial"/>
          <w:lang w:val="vi-VN"/>
        </w:rPr>
        <w:t>Trên thị trường quốc tế, các doanh nghiệp giấy lớn của Trung Quốc như Nine Dragons Paper, Shanying Paper cùng một số nhà sản xuất lớn khác đã công bố kế hoạch tăng giá bán vào cuối tháng 8/2026. Đây là lần điều chỉnh giá thứ hai chỉ trong cùng một tháng.</w:t>
      </w:r>
    </w:p>
    <w:p w14:paraId="203DACD1" w14:textId="77777777" w:rsidR="00A71FFA" w:rsidRPr="00A71FFA" w:rsidRDefault="00A71FFA" w:rsidP="00A71FFA">
      <w:pPr>
        <w:jc w:val="both"/>
        <w:rPr>
          <w:rFonts w:ascii="Arial" w:hAnsi="Arial" w:cs="Arial"/>
          <w:lang w:val="vi-VN"/>
        </w:rPr>
      </w:pPr>
      <w:r w:rsidRPr="00A71FFA">
        <w:rPr>
          <w:rFonts w:ascii="Arial" w:hAnsi="Arial" w:cs="Arial"/>
          <w:lang w:val="vi-VN"/>
        </w:rPr>
        <w:t>Bên cạnh đó, nhiều doanh nghiệp giấy Trung Quốc cũng thông báo kế hoạch bảo trì nhà máy trong giai đoạn từ tháng 8 đến đầu tháng 10/2026. Việc tạm ngừng hoạt động kéo dài trong thời điểm nhu cầu tiêu thụ cao, đặc biệt trước các kỳ nghỉ lễ như Trung thu và Quốc khánh, được kỳ vọng tiếp tục hỗ trợ giá giấy trên thị trường khu vực.</w:t>
      </w:r>
    </w:p>
    <w:p w14:paraId="7015E103" w14:textId="75463FC4" w:rsidR="00F86F80" w:rsidRPr="00F86F80" w:rsidRDefault="00F86F80" w:rsidP="000011DC">
      <w:pPr>
        <w:jc w:val="both"/>
        <w:rPr>
          <w:rFonts w:ascii="Arial" w:hAnsi="Arial" w:cs="Arial"/>
          <w:lang w:val="vi-VN"/>
        </w:rPr>
      </w:pPr>
      <w:r w:rsidRPr="00F86F80">
        <w:rPr>
          <w:rFonts w:ascii="Arial" w:hAnsi="Arial" w:cs="Arial"/>
          <w:noProof/>
          <w:lang w:val="vi-VN"/>
        </w:rPr>
        <w:lastRenderedPageBreak/>
        <w:drawing>
          <wp:inline distT="0" distB="0" distL="0" distR="0" wp14:anchorId="23093B4A" wp14:editId="23A3045F">
            <wp:extent cx="5943600" cy="6137275"/>
            <wp:effectExtent l="0" t="0" r="0" b="0"/>
            <wp:docPr id="17077904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790496" name="Picture 1707790496"/>
                    <pic:cNvPicPr/>
                  </pic:nvPicPr>
                  <pic:blipFill>
                    <a:blip r:embed="rId6">
                      <a:extLst>
                        <a:ext uri="{28A0092B-C50C-407E-A947-70E740481C1C}">
                          <a14:useLocalDpi xmlns:a14="http://schemas.microsoft.com/office/drawing/2010/main" val="0"/>
                        </a:ext>
                      </a:extLst>
                    </a:blip>
                    <a:stretch>
                      <a:fillRect/>
                    </a:stretch>
                  </pic:blipFill>
                  <pic:spPr>
                    <a:xfrm>
                      <a:off x="0" y="0"/>
                      <a:ext cx="5943600" cy="6137275"/>
                    </a:xfrm>
                    <a:prstGeom prst="rect">
                      <a:avLst/>
                    </a:prstGeom>
                  </pic:spPr>
                </pic:pic>
              </a:graphicData>
            </a:graphic>
          </wp:inline>
        </w:drawing>
      </w:r>
    </w:p>
    <w:p w14:paraId="416B7952" w14:textId="77777777" w:rsidR="00387E8C" w:rsidRDefault="00387E8C" w:rsidP="000011DC">
      <w:pPr>
        <w:jc w:val="both"/>
        <w:rPr>
          <w:rFonts w:ascii="Arial" w:hAnsi="Arial" w:cs="Arial"/>
          <w:b/>
          <w:bCs/>
          <w:lang w:val="vi-VN"/>
        </w:rPr>
      </w:pPr>
    </w:p>
    <w:p w14:paraId="0006E7E2" w14:textId="77777777" w:rsidR="00A71FFA" w:rsidRDefault="00A71FFA" w:rsidP="00A9567C">
      <w:pPr>
        <w:pStyle w:val="Heading2"/>
        <w:rPr>
          <w:lang w:val="vi-VN"/>
        </w:rPr>
      </w:pPr>
      <w:r w:rsidRPr="00A71FFA">
        <w:rPr>
          <w:lang w:val="vi-VN"/>
        </w:rPr>
        <w:t>Giá bán tăng giúp bù đắp áp lực từ chi phí giấy phế liệu OCC</w:t>
      </w:r>
    </w:p>
    <w:p w14:paraId="547EB96E" w14:textId="11B4E087" w:rsidR="00A71FFA" w:rsidRDefault="00562066" w:rsidP="00A71FFA">
      <w:pPr>
        <w:jc w:val="both"/>
        <w:rPr>
          <w:rFonts w:ascii="Arial" w:hAnsi="Arial" w:cs="Arial"/>
          <w:lang w:val="vi-VN"/>
        </w:rPr>
      </w:pPr>
      <w:r w:rsidRPr="00F86F80">
        <w:rPr>
          <w:rFonts w:ascii="Arial" w:hAnsi="Arial" w:cs="Arial"/>
          <w:lang w:val="vi-VN"/>
        </w:rPr>
        <w:br/>
      </w:r>
      <w:r w:rsidR="00A71FFA" w:rsidRPr="00A71FFA">
        <w:rPr>
          <w:rFonts w:ascii="Arial" w:hAnsi="Arial" w:cs="Arial"/>
          <w:lang w:val="vi-VN"/>
        </w:rPr>
        <w:t>Đà tăng của giá giấy thành phẩm hiện đang giúp các nhà sản xuất giảm bớt áp lực từ chi phí nguyên liệu đầu vào, đặc biệt là giấy phế liệu OCC (Old Corrugated Containers) – nguyên liệu quan trọng trong sản xuất giấy bao bì tái chế.</w:t>
      </w:r>
    </w:p>
    <w:p w14:paraId="631666DE" w14:textId="77777777" w:rsidR="00A9567C" w:rsidRPr="00A71FFA" w:rsidRDefault="00A9567C" w:rsidP="00A71FFA">
      <w:pPr>
        <w:jc w:val="both"/>
        <w:rPr>
          <w:rFonts w:ascii="Arial" w:hAnsi="Arial" w:cs="Arial"/>
          <w:lang w:val="vi-VN"/>
        </w:rPr>
      </w:pPr>
    </w:p>
    <w:p w14:paraId="1C9C979D" w14:textId="77777777" w:rsidR="00A71FFA" w:rsidRPr="00A71FFA" w:rsidRDefault="00A71FFA" w:rsidP="00A71FFA">
      <w:pPr>
        <w:jc w:val="both"/>
        <w:rPr>
          <w:rFonts w:ascii="Arial" w:hAnsi="Arial" w:cs="Arial"/>
          <w:lang w:val="vi-VN"/>
        </w:rPr>
      </w:pPr>
      <w:r w:rsidRPr="00A71FFA">
        <w:rPr>
          <w:rFonts w:ascii="Arial" w:hAnsi="Arial" w:cs="Arial"/>
          <w:lang w:val="vi-VN"/>
        </w:rPr>
        <w:t>Hiện OCC chiếm khoảng 50-60% tổng chi phí sản xuất giấy bao bì tại Việt Nam. Trong đó, nguồn OCC nội địa chiếm khoảng 52% tổng lượng tiêu thụ, phần còn lại được nhập khẩu chủ yếu từ Mỹ, Nhật Bản và châu Âu.</w:t>
      </w:r>
    </w:p>
    <w:p w14:paraId="3E713608" w14:textId="6D754BF4" w:rsidR="00A71FFA" w:rsidRDefault="00A71FFA" w:rsidP="00A71FFA">
      <w:pPr>
        <w:jc w:val="both"/>
        <w:rPr>
          <w:rFonts w:ascii="Arial" w:hAnsi="Arial" w:cs="Arial"/>
          <w:lang w:val="vi-VN"/>
        </w:rPr>
      </w:pPr>
      <w:r w:rsidRPr="00A71FFA">
        <w:rPr>
          <w:rFonts w:ascii="Arial" w:hAnsi="Arial" w:cs="Arial"/>
          <w:lang w:val="vi-VN"/>
        </w:rPr>
        <w:lastRenderedPageBreak/>
        <w:t>Trên thị trường quốc tế, nguồn cung OCC từ EU và Bắc Mỹ hiện chiếm khoảng 70% tổng lượng xuất khẩu OCC toàn cầu. Tuy nhiên, nguồn cung này đang chịu áp lực do nhu cầu tiêu thụ nội địa tăng, cùng với chi phí thu gom và xử lý ngày càng cao do các yêu cầu về tiêu chuẩn ESG.</w:t>
      </w:r>
    </w:p>
    <w:p w14:paraId="47EFD2C4" w14:textId="77777777" w:rsidR="00A9567C" w:rsidRPr="00A71FFA" w:rsidRDefault="00A9567C" w:rsidP="00A71FFA">
      <w:pPr>
        <w:jc w:val="both"/>
        <w:rPr>
          <w:rFonts w:ascii="Arial" w:hAnsi="Arial" w:cs="Arial"/>
          <w:lang w:val="vi-VN"/>
        </w:rPr>
      </w:pPr>
    </w:p>
    <w:p w14:paraId="18329C23" w14:textId="56757E3F" w:rsidR="00A71FFA" w:rsidRDefault="00A71FFA" w:rsidP="00A71FFA">
      <w:pPr>
        <w:jc w:val="both"/>
        <w:rPr>
          <w:rFonts w:ascii="Arial" w:hAnsi="Arial" w:cs="Arial"/>
          <w:lang w:val="vi-VN"/>
        </w:rPr>
      </w:pPr>
      <w:r w:rsidRPr="00A71FFA">
        <w:rPr>
          <w:rFonts w:ascii="Arial" w:hAnsi="Arial" w:cs="Arial"/>
          <w:lang w:val="vi-VN"/>
        </w:rPr>
        <w:t>Sau giai đoạn điều chỉnh trong tháng trước, giá xuất khẩu OCC từ Mỹ và Nhật Bản đã tăng trở lại trong tháng 8/2026 và được dự báo tiếp tục duy trì xu hướng tăng khi nguồn cung toàn cầu ngày càng thắt chặt.</w:t>
      </w:r>
    </w:p>
    <w:p w14:paraId="747916F1" w14:textId="77777777" w:rsidR="00A9567C" w:rsidRPr="00A71FFA" w:rsidRDefault="00A9567C" w:rsidP="00A71FFA">
      <w:pPr>
        <w:jc w:val="both"/>
        <w:rPr>
          <w:rFonts w:ascii="Arial" w:hAnsi="Arial" w:cs="Arial"/>
          <w:lang w:val="vi-VN"/>
        </w:rPr>
      </w:pPr>
    </w:p>
    <w:p w14:paraId="689CAC46" w14:textId="64721682" w:rsidR="00A71FFA" w:rsidRDefault="00A71FFA" w:rsidP="00A71FFA">
      <w:pPr>
        <w:jc w:val="both"/>
        <w:rPr>
          <w:rFonts w:ascii="Arial" w:hAnsi="Arial" w:cs="Arial"/>
          <w:lang w:val="vi-VN"/>
        </w:rPr>
      </w:pPr>
      <w:r w:rsidRPr="00A71FFA">
        <w:rPr>
          <w:rFonts w:ascii="Arial" w:hAnsi="Arial" w:cs="Arial"/>
          <w:lang w:val="vi-VN"/>
        </w:rPr>
        <w:t>Ngoài yếu tố cung – cầu, hoạt động xuất khẩu OCC từ EU cũng chịu ảnh hưởng bởi các thay đổi chính sách quan trọng:</w:t>
      </w:r>
    </w:p>
    <w:p w14:paraId="07D655EB" w14:textId="77777777" w:rsidR="00A9567C" w:rsidRPr="00A71FFA" w:rsidRDefault="00A9567C" w:rsidP="00A71FFA">
      <w:pPr>
        <w:jc w:val="both"/>
        <w:rPr>
          <w:rFonts w:ascii="Arial" w:hAnsi="Arial" w:cs="Arial"/>
          <w:lang w:val="vi-VN"/>
        </w:rPr>
      </w:pPr>
    </w:p>
    <w:p w14:paraId="5D89F728" w14:textId="77777777" w:rsidR="00A71FFA" w:rsidRPr="00A71FFA" w:rsidRDefault="00A71FFA" w:rsidP="00A9567C">
      <w:pPr>
        <w:jc w:val="both"/>
        <w:rPr>
          <w:rFonts w:ascii="Arial" w:hAnsi="Arial" w:cs="Arial"/>
          <w:lang w:val="vi-VN"/>
        </w:rPr>
      </w:pPr>
      <w:r w:rsidRPr="00A71FFA">
        <w:rPr>
          <w:rFonts w:ascii="Arial" w:hAnsi="Arial" w:cs="Arial"/>
          <w:b/>
          <w:bCs/>
          <w:lang w:val="vi-VN"/>
        </w:rPr>
        <w:t>Quy định về Bao bì và Chất thải Bao bì (PPWR):</w:t>
      </w:r>
      <w:r w:rsidRPr="00A71FFA">
        <w:rPr>
          <w:rFonts w:ascii="Arial" w:hAnsi="Arial" w:cs="Arial"/>
          <w:lang w:val="vi-VN"/>
        </w:rPr>
        <w:t xml:space="preserve"> thúc đẩy việc hạn chế sử dụng nhựa dùng một lần, qua đó gia tăng nhu cầu đối với bao bì giấy trong giai đoạn 2026-2029. </w:t>
      </w:r>
    </w:p>
    <w:p w14:paraId="65920A11" w14:textId="77777777" w:rsidR="00A9567C" w:rsidRDefault="00A9567C" w:rsidP="00A9567C">
      <w:pPr>
        <w:jc w:val="both"/>
        <w:rPr>
          <w:rFonts w:ascii="Arial" w:hAnsi="Arial" w:cs="Arial"/>
          <w:b/>
          <w:bCs/>
          <w:lang w:val="vi-VN"/>
        </w:rPr>
      </w:pPr>
    </w:p>
    <w:p w14:paraId="10DBB1CB" w14:textId="44AABFEF" w:rsidR="00A71FFA" w:rsidRPr="00A71FFA" w:rsidRDefault="00A71FFA" w:rsidP="00A9567C">
      <w:pPr>
        <w:jc w:val="both"/>
        <w:rPr>
          <w:rFonts w:ascii="Arial" w:hAnsi="Arial" w:cs="Arial"/>
          <w:lang w:val="vi-VN"/>
        </w:rPr>
      </w:pPr>
      <w:r w:rsidRPr="00A71FFA">
        <w:rPr>
          <w:rFonts w:ascii="Arial" w:hAnsi="Arial" w:cs="Arial"/>
          <w:b/>
          <w:bCs/>
          <w:lang w:val="vi-VN"/>
        </w:rPr>
        <w:t>Quy định về vận chuyển chất thải:</w:t>
      </w:r>
      <w:r w:rsidRPr="00A71FFA">
        <w:rPr>
          <w:rFonts w:ascii="Arial" w:hAnsi="Arial" w:cs="Arial"/>
          <w:lang w:val="vi-VN"/>
        </w:rPr>
        <w:t xml:space="preserve"> yêu cầu kiểm soát chặt chẽ hơn việc xuất khẩu OCC sang các quốc gia ngoài OECD nếu không có hệ thống kiểm toán môi trường độc lập, dự kiến có hiệu lực từ ngày 21/5/2027. </w:t>
      </w:r>
    </w:p>
    <w:p w14:paraId="574080AD" w14:textId="77777777" w:rsidR="00A71FFA" w:rsidRPr="00A71FFA" w:rsidRDefault="00A71FFA" w:rsidP="00A71FFA">
      <w:pPr>
        <w:jc w:val="both"/>
        <w:rPr>
          <w:rFonts w:ascii="Arial" w:hAnsi="Arial" w:cs="Arial"/>
          <w:lang w:val="vi-VN"/>
        </w:rPr>
      </w:pPr>
      <w:r w:rsidRPr="00A71FFA">
        <w:rPr>
          <w:rFonts w:ascii="Arial" w:hAnsi="Arial" w:cs="Arial"/>
          <w:lang w:val="vi-VN"/>
        </w:rPr>
        <w:t>Trong khi đó, nhu cầu nhập khẩu OCC toàn cầu dự kiến tiếp tục duy trì ở mức cao, đặc biệt tại Đông Nam Á – khu vực chiếm khoảng 35% tổng lượng nhập khẩu OCC toàn cầu năm 2025.</w:t>
      </w:r>
    </w:p>
    <w:p w14:paraId="785AAA35" w14:textId="37D112F7" w:rsidR="000011DC" w:rsidRPr="00A71FFA" w:rsidRDefault="00562066" w:rsidP="00A9567C">
      <w:pPr>
        <w:pStyle w:val="Heading2"/>
        <w:rPr>
          <w:lang w:val="vi-VN"/>
        </w:rPr>
      </w:pPr>
      <w:r w:rsidRPr="00F86F80">
        <w:rPr>
          <w:lang w:val="vi-VN"/>
        </w:rPr>
        <w:br/>
      </w:r>
      <w:r w:rsidR="00A71FFA" w:rsidRPr="00A71FFA">
        <w:rPr>
          <w:lang w:val="vi-VN"/>
        </w:rPr>
        <w:t>Gia tăng sử dụng OCC nội địa giúp giảm phụ thuộc nguồn nhập khẩu</w:t>
      </w:r>
    </w:p>
    <w:p w14:paraId="73753CC8" w14:textId="77777777" w:rsidR="00A71FFA" w:rsidRDefault="00A71FFA" w:rsidP="000011DC">
      <w:pPr>
        <w:jc w:val="both"/>
        <w:rPr>
          <w:rFonts w:ascii="Arial" w:hAnsi="Arial" w:cs="Arial"/>
          <w:lang w:val="vi-VN"/>
        </w:rPr>
      </w:pPr>
      <w:r w:rsidRPr="00A71FFA">
        <w:rPr>
          <w:rFonts w:ascii="Arial" w:hAnsi="Arial" w:cs="Arial"/>
          <w:lang w:val="vi-VN"/>
        </w:rPr>
        <w:t>Trước những biến động của chuỗi cung ứng toàn cầu, các doanh nghiệp giấy Việt Nam đang đẩy mạnh sử dụng OCC thu gom trong nước nhằm giảm sự phụ thuộc vào nguyên liệu nhập khẩu và hạn chế rủi ro biến động giá.</w:t>
      </w:r>
    </w:p>
    <w:p w14:paraId="34A66D6F" w14:textId="517E404A" w:rsidR="000011DC" w:rsidRPr="00F86F80" w:rsidRDefault="000011DC" w:rsidP="000011DC">
      <w:pPr>
        <w:jc w:val="both"/>
        <w:rPr>
          <w:rFonts w:ascii="Arial" w:hAnsi="Arial" w:cs="Arial"/>
          <w:lang w:val="vi-VN"/>
        </w:rPr>
      </w:pPr>
      <w:r w:rsidRPr="00F86F80">
        <w:rPr>
          <w:rFonts w:ascii="Arial" w:hAnsi="Arial" w:cs="Arial"/>
          <w:noProof/>
          <w:lang w:val="vi-VN"/>
        </w:rPr>
        <w:drawing>
          <wp:inline distT="0" distB="0" distL="0" distR="0" wp14:anchorId="242E23BF" wp14:editId="7A17C7F4">
            <wp:extent cx="5943600" cy="3180080"/>
            <wp:effectExtent l="0" t="0" r="0" b="1270"/>
            <wp:docPr id="318415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415964" name="Picture 318415964"/>
                    <pic:cNvPicPr/>
                  </pic:nvPicPr>
                  <pic:blipFill>
                    <a:blip r:embed="rId7">
                      <a:extLst>
                        <a:ext uri="{28A0092B-C50C-407E-A947-70E740481C1C}">
                          <a14:useLocalDpi xmlns:a14="http://schemas.microsoft.com/office/drawing/2010/main" val="0"/>
                        </a:ext>
                      </a:extLst>
                    </a:blip>
                    <a:stretch>
                      <a:fillRect/>
                    </a:stretch>
                  </pic:blipFill>
                  <pic:spPr>
                    <a:xfrm>
                      <a:off x="0" y="0"/>
                      <a:ext cx="5943600" cy="3180080"/>
                    </a:xfrm>
                    <a:prstGeom prst="rect">
                      <a:avLst/>
                    </a:prstGeom>
                  </pic:spPr>
                </pic:pic>
              </a:graphicData>
            </a:graphic>
          </wp:inline>
        </w:drawing>
      </w:r>
    </w:p>
    <w:p w14:paraId="05B8D014" w14:textId="77777777" w:rsidR="00A71FFA" w:rsidRPr="00A71FFA" w:rsidRDefault="00A71FFA" w:rsidP="00A71FFA">
      <w:pPr>
        <w:pStyle w:val="isselectedend"/>
        <w:rPr>
          <w:rFonts w:ascii="Arial" w:hAnsi="Arial" w:cs="Arial"/>
          <w:lang w:val="vi-VN"/>
        </w:rPr>
      </w:pPr>
      <w:r w:rsidRPr="00A71FFA">
        <w:rPr>
          <w:rFonts w:ascii="Arial" w:hAnsi="Arial" w:cs="Arial"/>
          <w:lang w:val="vi-VN"/>
        </w:rPr>
        <w:lastRenderedPageBreak/>
        <w:t>Tỷ lệ thu hồi OCC tại Việt Nam đã tăng từ 40% năm 2018 lên 55% vào năm 2025. Việc mở rộng nguồn cung OCC nội địa đang tạo ra vùng đệm chi phí quan trọng cho ngành giấy.</w:t>
      </w:r>
    </w:p>
    <w:p w14:paraId="1E132FF0" w14:textId="77777777" w:rsidR="00A71FFA" w:rsidRPr="00A71FFA" w:rsidRDefault="00A71FFA" w:rsidP="00A71FFA">
      <w:pPr>
        <w:pStyle w:val="isselectedend"/>
        <w:rPr>
          <w:rFonts w:ascii="Arial" w:hAnsi="Arial" w:cs="Arial"/>
          <w:lang w:val="vi-VN"/>
        </w:rPr>
      </w:pPr>
      <w:r w:rsidRPr="00A71FFA">
        <w:rPr>
          <w:rFonts w:ascii="Arial" w:hAnsi="Arial" w:cs="Arial"/>
          <w:lang w:val="vi-VN"/>
        </w:rPr>
        <w:t>So với OCC nhập khẩu, OCC nội địa thường được giao dịch với mức chiết khấu khoảng 5-8%, đồng thời giúp doanh nghiệp tránh khoản tiền ký quỹ nhập khẩu 15-20% theo quy định tại Nghị định 08/2022/NĐ-CP.</w:t>
      </w:r>
    </w:p>
    <w:p w14:paraId="6122C528" w14:textId="77777777" w:rsidR="00A71FFA" w:rsidRDefault="00A71FFA" w:rsidP="00A71FFA">
      <w:pPr>
        <w:pStyle w:val="isselectedend"/>
        <w:rPr>
          <w:rFonts w:ascii="Arial" w:hAnsi="Arial" w:cs="Arial"/>
          <w:lang w:val="vi-VN"/>
        </w:rPr>
      </w:pPr>
      <w:r w:rsidRPr="00A71FFA">
        <w:rPr>
          <w:rFonts w:ascii="Arial" w:hAnsi="Arial" w:cs="Arial"/>
          <w:lang w:val="vi-VN"/>
        </w:rPr>
        <w:t>Trong dài hạn, khi hệ thống thu gom và tái chế trong nước tiếp tục được cải thiện, nguồn cung OCC nội địa được kỳ vọng sẽ ngày càng ổn định hơn. Điều này giúp các nhà sản xuất giấy bao bì Việt Nam giảm phụ thuộc vào thị trường quốc tế, hạn chế tác động từ biến động giá nguyên liệu và duy trì sự ổn định trong chi phí sản xuất.</w:t>
      </w:r>
    </w:p>
    <w:p w14:paraId="4AA31329" w14:textId="66D1800E" w:rsidR="00A71FFA" w:rsidRPr="00A71FFA" w:rsidRDefault="00A71FFA" w:rsidP="00A71FFA">
      <w:pPr>
        <w:pStyle w:val="isselectedend"/>
        <w:rPr>
          <w:rFonts w:ascii="Arial" w:hAnsi="Arial" w:cs="Arial"/>
          <w:lang w:val="vi-VN"/>
        </w:rPr>
      </w:pPr>
      <w:r w:rsidRPr="00A71FFA">
        <w:rPr>
          <w:rFonts w:ascii="Arial" w:hAnsi="Arial" w:cs="Arial"/>
          <w:lang w:val="vi-VN"/>
        </w:rPr>
        <w:t>Ngành bao bì giấy Việt Nam đang đứng trước giai đoạn tăng trưởng nhưng đồng thời đối mặt với thách thức lớn về nguồn cung. Việc nhu cầu tiếp tục mở rộng, trong khi năng lực sản xuất phục hồi chậm do các yêu cầu môi trường, sẽ duy trì áp lực thiếu hụt trong trung hạn. Trong bối cảnh đó, giá giấy bao bì nhiều khả năng tiếp tục được hỗ trợ, trong khi các doanh nghiệp có lợi thế về nguồn nguyên liệu tái chế nội địa sẽ có khả năng duy trì biên lợi nhuận tốt hơn.</w:t>
      </w:r>
    </w:p>
    <w:p w14:paraId="151CFEB2" w14:textId="5BB5429A" w:rsidR="00452234" w:rsidRPr="00452234" w:rsidRDefault="00452234" w:rsidP="00452234">
      <w:pPr>
        <w:spacing w:after="160" w:line="278" w:lineRule="auto"/>
        <w:jc w:val="both"/>
        <w:rPr>
          <w:rFonts w:ascii="Arial" w:hAnsi="Arial" w:cs="Arial"/>
        </w:rPr>
      </w:pPr>
      <w:proofErr w:type="spellStart"/>
      <w:r w:rsidRPr="00452234">
        <w:rPr>
          <w:rFonts w:ascii="Arial" w:eastAsiaTheme="majorEastAsia" w:hAnsi="Arial" w:cs="Arial"/>
          <w:i/>
          <w:iCs/>
        </w:rPr>
        <w:t>Nội</w:t>
      </w:r>
      <w:proofErr w:type="spellEnd"/>
      <w:r w:rsidRPr="00452234">
        <w:rPr>
          <w:rFonts w:ascii="Arial" w:eastAsiaTheme="majorEastAsia" w:hAnsi="Arial" w:cs="Arial"/>
          <w:i/>
          <w:iCs/>
        </w:rPr>
        <w:t xml:space="preserve"> dung </w:t>
      </w:r>
      <w:proofErr w:type="spellStart"/>
      <w:r w:rsidRPr="00452234">
        <w:rPr>
          <w:rFonts w:ascii="Arial" w:eastAsiaTheme="majorEastAsia" w:hAnsi="Arial" w:cs="Arial"/>
          <w:i/>
          <w:iCs/>
        </w:rPr>
        <w:t>bài</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viết</w:t>
      </w:r>
      <w:proofErr w:type="spellEnd"/>
      <w:r w:rsidR="00A9567C">
        <w:rPr>
          <w:rFonts w:ascii="Arial" w:eastAsiaTheme="majorEastAsia" w:hAnsi="Arial" w:cs="Arial"/>
          <w:i/>
          <w:iCs/>
          <w:lang w:val="vi-VN"/>
        </w:rPr>
        <w:t xml:space="preserve"> được thu thập thông tin và</w:t>
      </w:r>
      <w:r w:rsidRPr="00452234">
        <w:rPr>
          <w:rFonts w:ascii="Arial" w:eastAsiaTheme="majorEastAsia" w:hAnsi="Arial" w:cs="Arial"/>
          <w:i/>
          <w:iCs/>
        </w:rPr>
        <w:t xml:space="preserve"> </w:t>
      </w:r>
      <w:proofErr w:type="spellStart"/>
      <w:r w:rsidRPr="00452234">
        <w:rPr>
          <w:rFonts w:ascii="Arial" w:eastAsiaTheme="majorEastAsia" w:hAnsi="Arial" w:cs="Arial"/>
          <w:i/>
          <w:iCs/>
        </w:rPr>
        <w:t>thể</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hiện</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quan</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điểm</w:t>
      </w:r>
      <w:proofErr w:type="spellEnd"/>
      <w:r w:rsidR="00A9567C">
        <w:rPr>
          <w:rFonts w:ascii="Arial" w:eastAsiaTheme="majorEastAsia" w:hAnsi="Arial" w:cs="Arial"/>
          <w:i/>
          <w:iCs/>
          <w:lang w:val="vi-VN"/>
        </w:rPr>
        <w:t xml:space="preserve"> từ</w:t>
      </w:r>
      <w:r w:rsidRPr="00452234">
        <w:rPr>
          <w:rFonts w:ascii="Arial" w:eastAsiaTheme="majorEastAsia" w:hAnsi="Arial" w:cs="Arial"/>
          <w:i/>
          <w:iCs/>
        </w:rPr>
        <w:t xml:space="preserve"> </w:t>
      </w:r>
      <w:proofErr w:type="spellStart"/>
      <w:r w:rsidRPr="00452234">
        <w:rPr>
          <w:rFonts w:ascii="Arial" w:eastAsiaTheme="majorEastAsia" w:hAnsi="Arial" w:cs="Arial"/>
          <w:i/>
          <w:iCs/>
        </w:rPr>
        <w:t>cá</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nhân</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tác</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giả</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chỉ</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nhằm</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mục</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đích</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cung</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cấp</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thông</w:t>
      </w:r>
      <w:proofErr w:type="spellEnd"/>
      <w:r w:rsidRPr="00452234">
        <w:rPr>
          <w:rFonts w:ascii="Arial" w:eastAsiaTheme="majorEastAsia" w:hAnsi="Arial" w:cs="Arial"/>
          <w:i/>
          <w:iCs/>
        </w:rPr>
        <w:t xml:space="preserve"> tin </w:t>
      </w:r>
      <w:proofErr w:type="spellStart"/>
      <w:r w:rsidRPr="00452234">
        <w:rPr>
          <w:rFonts w:ascii="Arial" w:eastAsiaTheme="majorEastAsia" w:hAnsi="Arial" w:cs="Arial"/>
          <w:i/>
          <w:iCs/>
        </w:rPr>
        <w:t>và</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phân</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tích</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không</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phải</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là</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khuyến</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nghị</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đầu</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tư</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chào</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mua</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hoặc</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chào</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bán</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bất</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kỳ</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loại</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chứng</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khoán</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nào</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Nhà</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đầu</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tư</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nên</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tự</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nghiên</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cứu</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hoặc</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tham</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khảo</w:t>
      </w:r>
      <w:proofErr w:type="spellEnd"/>
      <w:r w:rsidRPr="00452234">
        <w:rPr>
          <w:rFonts w:ascii="Arial" w:eastAsiaTheme="majorEastAsia" w:hAnsi="Arial" w:cs="Arial"/>
          <w:i/>
          <w:iCs/>
        </w:rPr>
        <w:t xml:space="preserve"> ý </w:t>
      </w:r>
      <w:proofErr w:type="spellStart"/>
      <w:r w:rsidRPr="00452234">
        <w:rPr>
          <w:rFonts w:ascii="Arial" w:eastAsiaTheme="majorEastAsia" w:hAnsi="Arial" w:cs="Arial"/>
          <w:i/>
          <w:iCs/>
        </w:rPr>
        <w:t>kiến</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của</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chuyên</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gia</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trước</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khi</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đưa</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ra</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quyết</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định</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đầu</w:t>
      </w:r>
      <w:proofErr w:type="spellEnd"/>
      <w:r w:rsidRPr="00452234">
        <w:rPr>
          <w:rFonts w:ascii="Arial" w:eastAsiaTheme="majorEastAsia" w:hAnsi="Arial" w:cs="Arial"/>
          <w:i/>
          <w:iCs/>
        </w:rPr>
        <w:t xml:space="preserve"> </w:t>
      </w:r>
      <w:proofErr w:type="spellStart"/>
      <w:r w:rsidRPr="00452234">
        <w:rPr>
          <w:rFonts w:ascii="Arial" w:eastAsiaTheme="majorEastAsia" w:hAnsi="Arial" w:cs="Arial"/>
          <w:i/>
          <w:iCs/>
        </w:rPr>
        <w:t>tư</w:t>
      </w:r>
      <w:proofErr w:type="spellEnd"/>
      <w:r w:rsidRPr="00452234">
        <w:rPr>
          <w:rFonts w:ascii="Arial" w:eastAsiaTheme="majorEastAsia" w:hAnsi="Arial" w:cs="Arial"/>
          <w:i/>
          <w:iCs/>
        </w:rPr>
        <w:t>.</w:t>
      </w:r>
    </w:p>
    <w:p w14:paraId="1463AFE2" w14:textId="6D399DD6" w:rsidR="00452234" w:rsidRPr="00452234" w:rsidRDefault="00452234" w:rsidP="00452234">
      <w:pPr>
        <w:spacing w:after="160" w:line="278" w:lineRule="auto"/>
        <w:jc w:val="both"/>
        <w:rPr>
          <w:rFonts w:ascii="Arial" w:hAnsi="Arial" w:cs="Arial"/>
          <w:lang w:val="vi-VN"/>
        </w:rPr>
      </w:pPr>
      <w:proofErr w:type="spellStart"/>
      <w:r w:rsidRPr="00452234">
        <w:rPr>
          <w:rFonts w:ascii="Arial" w:hAnsi="Arial" w:cs="Arial"/>
        </w:rPr>
        <w:t>Nhóm</w:t>
      </w:r>
      <w:proofErr w:type="spellEnd"/>
      <w:r w:rsidRPr="00452234">
        <w:rPr>
          <w:rFonts w:ascii="Arial" w:hAnsi="Arial" w:cs="Arial"/>
        </w:rPr>
        <w:t xml:space="preserve"> </w:t>
      </w:r>
      <w:proofErr w:type="spellStart"/>
      <w:r>
        <w:rPr>
          <w:rFonts w:ascii="Arial" w:hAnsi="Arial" w:cs="Arial"/>
        </w:rPr>
        <w:t>SmartStock</w:t>
      </w:r>
      <w:proofErr w:type="spellEnd"/>
      <w:r>
        <w:rPr>
          <w:rFonts w:ascii="Arial" w:hAnsi="Arial" w:cs="Arial"/>
          <w:lang w:val="vi-VN"/>
        </w:rPr>
        <w:t xml:space="preserve"> </w:t>
      </w:r>
    </w:p>
    <w:p w14:paraId="6354511E" w14:textId="77777777" w:rsidR="00F86F80" w:rsidRPr="00F86F80" w:rsidRDefault="00F86F80" w:rsidP="000011DC">
      <w:pPr>
        <w:jc w:val="both"/>
        <w:rPr>
          <w:rFonts w:ascii="Arial" w:hAnsi="Arial" w:cs="Arial"/>
          <w:lang w:val="vi-VN"/>
        </w:rPr>
      </w:pPr>
    </w:p>
    <w:sectPr w:rsidR="00F86F80" w:rsidRPr="00F86F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altName w:val="Calibri"/>
    <w:panose1 w:val="020B06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altName w:val="Calibri"/>
    <w:panose1 w:val="020B06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02D32"/>
    <w:multiLevelType w:val="multilevel"/>
    <w:tmpl w:val="330CC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1A765A"/>
    <w:multiLevelType w:val="hybridMultilevel"/>
    <w:tmpl w:val="E4B0F68A"/>
    <w:lvl w:ilvl="0" w:tplc="BBD2DA88">
      <w:start w:val="2"/>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C4A7250"/>
    <w:multiLevelType w:val="multilevel"/>
    <w:tmpl w:val="5776B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066"/>
    <w:rsid w:val="000011DC"/>
    <w:rsid w:val="00007E22"/>
    <w:rsid w:val="0017051F"/>
    <w:rsid w:val="001D456D"/>
    <w:rsid w:val="00387E8C"/>
    <w:rsid w:val="00452234"/>
    <w:rsid w:val="00531AEE"/>
    <w:rsid w:val="00562066"/>
    <w:rsid w:val="00570044"/>
    <w:rsid w:val="005B26E2"/>
    <w:rsid w:val="00624A0B"/>
    <w:rsid w:val="009349EF"/>
    <w:rsid w:val="00A71FFA"/>
    <w:rsid w:val="00A9567C"/>
    <w:rsid w:val="00AF4D83"/>
    <w:rsid w:val="00B443AF"/>
    <w:rsid w:val="00DE7DEC"/>
    <w:rsid w:val="00F86F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1CF8F"/>
  <w15:chartTrackingRefBased/>
  <w15:docId w15:val="{4CB15131-C194-41C0-A7AD-F339EC5F0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2234"/>
    <w:pPr>
      <w:spacing w:after="0" w:line="240" w:lineRule="auto"/>
    </w:pPr>
    <w:rPr>
      <w:rFonts w:ascii="Times New Roman" w:eastAsia="Times New Roman" w:hAnsi="Times New Roman" w:cs="Times New Roman"/>
      <w:kern w:val="0"/>
      <w:lang w:eastAsia="en-US"/>
      <w14:ligatures w14:val="none"/>
    </w:rPr>
  </w:style>
  <w:style w:type="paragraph" w:styleId="Heading1">
    <w:name w:val="heading 1"/>
    <w:basedOn w:val="Normal"/>
    <w:next w:val="Normal"/>
    <w:link w:val="Heading1Char"/>
    <w:uiPriority w:val="9"/>
    <w:qFormat/>
    <w:rsid w:val="0056206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zh-CN"/>
      <w14:ligatures w14:val="standardContextual"/>
    </w:rPr>
  </w:style>
  <w:style w:type="paragraph" w:styleId="Heading2">
    <w:name w:val="heading 2"/>
    <w:basedOn w:val="Normal"/>
    <w:next w:val="Normal"/>
    <w:link w:val="Heading2Char"/>
    <w:uiPriority w:val="9"/>
    <w:unhideWhenUsed/>
    <w:qFormat/>
    <w:rsid w:val="0056206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5620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20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20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20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20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20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20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20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620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20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20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20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20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20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20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2066"/>
    <w:rPr>
      <w:rFonts w:eastAsiaTheme="majorEastAsia" w:cstheme="majorBidi"/>
      <w:color w:val="272727" w:themeColor="text1" w:themeTint="D8"/>
    </w:rPr>
  </w:style>
  <w:style w:type="paragraph" w:styleId="Title">
    <w:name w:val="Title"/>
    <w:basedOn w:val="Normal"/>
    <w:next w:val="Normal"/>
    <w:link w:val="TitleChar"/>
    <w:uiPriority w:val="10"/>
    <w:qFormat/>
    <w:rsid w:val="00562066"/>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5620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206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5620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2066"/>
    <w:pPr>
      <w:spacing w:before="160" w:after="160" w:line="278" w:lineRule="auto"/>
      <w:jc w:val="center"/>
    </w:pPr>
    <w:rPr>
      <w:rFonts w:asciiTheme="minorHAnsi" w:eastAsiaTheme="minorEastAsia" w:hAnsiTheme="minorHAnsi" w:cstheme="minorBidi"/>
      <w:i/>
      <w:iCs/>
      <w:color w:val="404040" w:themeColor="text1" w:themeTint="BF"/>
      <w:kern w:val="2"/>
      <w:lang w:eastAsia="zh-CN"/>
      <w14:ligatures w14:val="standardContextual"/>
    </w:rPr>
  </w:style>
  <w:style w:type="character" w:customStyle="1" w:styleId="QuoteChar">
    <w:name w:val="Quote Char"/>
    <w:basedOn w:val="DefaultParagraphFont"/>
    <w:link w:val="Quote"/>
    <w:uiPriority w:val="29"/>
    <w:rsid w:val="00562066"/>
    <w:rPr>
      <w:i/>
      <w:iCs/>
      <w:color w:val="404040" w:themeColor="text1" w:themeTint="BF"/>
    </w:rPr>
  </w:style>
  <w:style w:type="paragraph" w:styleId="ListParagraph">
    <w:name w:val="List Paragraph"/>
    <w:basedOn w:val="Normal"/>
    <w:uiPriority w:val="34"/>
    <w:qFormat/>
    <w:rsid w:val="00562066"/>
    <w:pPr>
      <w:spacing w:after="160" w:line="278" w:lineRule="auto"/>
      <w:ind w:left="720"/>
      <w:contextualSpacing/>
    </w:pPr>
    <w:rPr>
      <w:rFonts w:asciiTheme="minorHAnsi" w:eastAsiaTheme="minorEastAsia" w:hAnsiTheme="minorHAnsi" w:cstheme="minorBidi"/>
      <w:kern w:val="2"/>
      <w:lang w:eastAsia="zh-CN"/>
      <w14:ligatures w14:val="standardContextual"/>
    </w:rPr>
  </w:style>
  <w:style w:type="character" w:styleId="IntenseEmphasis">
    <w:name w:val="Intense Emphasis"/>
    <w:basedOn w:val="DefaultParagraphFont"/>
    <w:uiPriority w:val="21"/>
    <w:qFormat/>
    <w:rsid w:val="00562066"/>
    <w:rPr>
      <w:i/>
      <w:iCs/>
      <w:color w:val="0F4761" w:themeColor="accent1" w:themeShade="BF"/>
    </w:rPr>
  </w:style>
  <w:style w:type="paragraph" w:styleId="IntenseQuote">
    <w:name w:val="Intense Quote"/>
    <w:basedOn w:val="Normal"/>
    <w:next w:val="Normal"/>
    <w:link w:val="IntenseQuoteChar"/>
    <w:uiPriority w:val="30"/>
    <w:qFormat/>
    <w:rsid w:val="0056206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lang w:eastAsia="zh-CN"/>
      <w14:ligatures w14:val="standardContextual"/>
    </w:rPr>
  </w:style>
  <w:style w:type="character" w:customStyle="1" w:styleId="IntenseQuoteChar">
    <w:name w:val="Intense Quote Char"/>
    <w:basedOn w:val="DefaultParagraphFont"/>
    <w:link w:val="IntenseQuote"/>
    <w:uiPriority w:val="30"/>
    <w:rsid w:val="00562066"/>
    <w:rPr>
      <w:i/>
      <w:iCs/>
      <w:color w:val="0F4761" w:themeColor="accent1" w:themeShade="BF"/>
    </w:rPr>
  </w:style>
  <w:style w:type="character" w:styleId="IntenseReference">
    <w:name w:val="Intense Reference"/>
    <w:basedOn w:val="DefaultParagraphFont"/>
    <w:uiPriority w:val="32"/>
    <w:qFormat/>
    <w:rsid w:val="00562066"/>
    <w:rPr>
      <w:b/>
      <w:bCs/>
      <w:smallCaps/>
      <w:color w:val="0F4761" w:themeColor="accent1" w:themeShade="BF"/>
      <w:spacing w:val="5"/>
    </w:rPr>
  </w:style>
  <w:style w:type="paragraph" w:customStyle="1" w:styleId="isselectedend">
    <w:name w:val="isselectedend"/>
    <w:basedOn w:val="Normal"/>
    <w:rsid w:val="00F86F80"/>
    <w:pPr>
      <w:spacing w:before="100" w:beforeAutospacing="1" w:after="100" w:afterAutospacing="1"/>
    </w:pPr>
  </w:style>
  <w:style w:type="character" w:styleId="Strong">
    <w:name w:val="Strong"/>
    <w:basedOn w:val="DefaultParagraphFont"/>
    <w:uiPriority w:val="22"/>
    <w:qFormat/>
    <w:rsid w:val="004522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5885986">
      <w:bodyDiv w:val="1"/>
      <w:marLeft w:val="0"/>
      <w:marRight w:val="0"/>
      <w:marTop w:val="0"/>
      <w:marBottom w:val="0"/>
      <w:divBdr>
        <w:top w:val="none" w:sz="0" w:space="0" w:color="auto"/>
        <w:left w:val="none" w:sz="0" w:space="0" w:color="auto"/>
        <w:bottom w:val="none" w:sz="0" w:space="0" w:color="auto"/>
        <w:right w:val="none" w:sz="0" w:space="0" w:color="auto"/>
      </w:divBdr>
      <w:divsChild>
        <w:div w:id="1067532798">
          <w:marLeft w:val="0"/>
          <w:marRight w:val="0"/>
          <w:marTop w:val="0"/>
          <w:marBottom w:val="0"/>
          <w:divBdr>
            <w:top w:val="single" w:sz="2" w:space="0" w:color="auto"/>
            <w:left w:val="single" w:sz="2" w:space="0" w:color="auto"/>
            <w:bottom w:val="single" w:sz="2" w:space="0" w:color="auto"/>
            <w:right w:val="single" w:sz="2" w:space="0" w:color="auto"/>
          </w:divBdr>
          <w:divsChild>
            <w:div w:id="1099760809">
              <w:marLeft w:val="0"/>
              <w:marRight w:val="0"/>
              <w:marTop w:val="0"/>
              <w:marBottom w:val="0"/>
              <w:divBdr>
                <w:top w:val="single" w:sz="2" w:space="0" w:color="auto"/>
                <w:left w:val="single" w:sz="2" w:space="0" w:color="auto"/>
                <w:bottom w:val="single" w:sz="2" w:space="0" w:color="auto"/>
                <w:right w:val="single" w:sz="2" w:space="0" w:color="auto"/>
              </w:divBdr>
            </w:div>
          </w:divsChild>
        </w:div>
        <w:div w:id="1415470581">
          <w:marLeft w:val="0"/>
          <w:marRight w:val="0"/>
          <w:marTop w:val="360"/>
          <w:marBottom w:val="0"/>
          <w:divBdr>
            <w:top w:val="single" w:sz="2" w:space="0" w:color="auto"/>
            <w:left w:val="single" w:sz="2" w:space="0" w:color="auto"/>
            <w:bottom w:val="single" w:sz="2" w:space="0" w:color="auto"/>
            <w:right w:val="single" w:sz="2" w:space="0" w:color="auto"/>
          </w:divBdr>
        </w:div>
      </w:divsChild>
    </w:div>
    <w:div w:id="963341228">
      <w:bodyDiv w:val="1"/>
      <w:marLeft w:val="0"/>
      <w:marRight w:val="0"/>
      <w:marTop w:val="0"/>
      <w:marBottom w:val="0"/>
      <w:divBdr>
        <w:top w:val="none" w:sz="0" w:space="0" w:color="auto"/>
        <w:left w:val="none" w:sz="0" w:space="0" w:color="auto"/>
        <w:bottom w:val="none" w:sz="0" w:space="0" w:color="auto"/>
        <w:right w:val="none" w:sz="0" w:space="0" w:color="auto"/>
      </w:divBdr>
      <w:divsChild>
        <w:div w:id="256597913">
          <w:marLeft w:val="0"/>
          <w:marRight w:val="0"/>
          <w:marTop w:val="0"/>
          <w:marBottom w:val="0"/>
          <w:divBdr>
            <w:top w:val="single" w:sz="2" w:space="0" w:color="auto"/>
            <w:left w:val="single" w:sz="2" w:space="0" w:color="auto"/>
            <w:bottom w:val="single" w:sz="2" w:space="0" w:color="auto"/>
            <w:right w:val="single" w:sz="2" w:space="0" w:color="auto"/>
          </w:divBdr>
          <w:divsChild>
            <w:div w:id="602959953">
              <w:marLeft w:val="0"/>
              <w:marRight w:val="0"/>
              <w:marTop w:val="0"/>
              <w:marBottom w:val="0"/>
              <w:divBdr>
                <w:top w:val="single" w:sz="2" w:space="0" w:color="auto"/>
                <w:left w:val="single" w:sz="2" w:space="0" w:color="auto"/>
                <w:bottom w:val="single" w:sz="2" w:space="0" w:color="auto"/>
                <w:right w:val="single" w:sz="2" w:space="0" w:color="auto"/>
              </w:divBdr>
            </w:div>
          </w:divsChild>
        </w:div>
        <w:div w:id="509103791">
          <w:marLeft w:val="0"/>
          <w:marRight w:val="0"/>
          <w:marTop w:val="360"/>
          <w:marBottom w:val="0"/>
          <w:divBdr>
            <w:top w:val="single" w:sz="2" w:space="0" w:color="auto"/>
            <w:left w:val="single" w:sz="2" w:space="0" w:color="auto"/>
            <w:bottom w:val="single" w:sz="2" w:space="0" w:color="auto"/>
            <w:right w:val="single" w:sz="2" w:space="0" w:color="auto"/>
          </w:divBdr>
        </w:div>
      </w:divsChild>
    </w:div>
    <w:div w:id="1143160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1357</Words>
  <Characters>7737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Nghi. Tran Thi Phuong</dc:creator>
  <cp:keywords/>
  <dc:description/>
  <cp:lastModifiedBy/>
  <cp:revision>2</cp:revision>
  <dcterms:created xsi:type="dcterms:W3CDTF">2026-09-03T07:29:00Z</dcterms:created>
  <dcterms:modified xsi:type="dcterms:W3CDTF">2026-09-03T07:29:00Z</dcterms:modified>
</cp:coreProperties>
</file>